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Default="00977078" w:rsidP="00977078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 w:rsidR="00071077">
        <w:rPr>
          <w:rFonts w:ascii="simhei" w:hAnsi="simhei"/>
          <w:b/>
          <w:bCs/>
          <w:color w:val="000000"/>
          <w:sz w:val="36"/>
          <w:szCs w:val="36"/>
        </w:rPr>
        <w:t>基于频谱差异分析的含油气性检测项目中标公告</w:t>
      </w:r>
    </w:p>
    <w:bookmarkEnd w:id="0"/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中信国际招标有限公司受广州海洋地质调查局的委托，就基于频谱差异分析的含油气性检测项目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（项目编号：0733-166212716504）组织采购，评标工作已经结束，中标结果如下：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项目编号：0733-166212716504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项目名称：基于频谱差异分析的含油气性检测项目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500千米基于频谱差异分析的含油气性检测特殊处理研究，针对已有地质构造，检测储层含油气性及流体特征，初步评价局部构造。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  <w:t>预计特殊处理工作完成结束日期：2016年9月30日。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  <w:t>自合同签订之日起80天内完成特殊处理及相关分析研究工作，按项目组要求每月提交阶段性成果资料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供项目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组使用，并根据项目组意见修改。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采购代理机构地址：深圳市福田区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总中标金额：78.0 万元（人民币）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970"/>
        <w:gridCol w:w="4452"/>
        <w:gridCol w:w="1455"/>
      </w:tblGrid>
      <w:tr w:rsidR="00071077" w:rsidRPr="00071077" w:rsidTr="00071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071077" w:rsidRPr="00071077" w:rsidTr="00071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北京软岛科技有限公司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北京市海淀区志新东路5号鸿基世业商务酒店618室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</w:t>
            </w:r>
          </w:p>
        </w:tc>
      </w:tr>
    </w:tbl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、林小明、李建安、彭艳波、雷振宇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83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963"/>
        <w:gridCol w:w="3363"/>
      </w:tblGrid>
      <w:tr w:rsidR="00071077" w:rsidRPr="00071077" w:rsidTr="00071077">
        <w:trPr>
          <w:trHeight w:val="60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中标标的名称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规格、数量、单价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</w:tr>
      <w:tr w:rsidR="00071077" w:rsidRPr="00071077" w:rsidTr="00071077">
        <w:trPr>
          <w:trHeight w:val="155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基于频谱差异分析的含油气性检测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77" w:rsidRPr="00071077" w:rsidRDefault="00071077" w:rsidP="000710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0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在合同签订之日起80天内完成“基于频谱差异分析的含油气性检测”项目研究任务的要求和完成本项目具体工作量。</w:t>
            </w:r>
          </w:p>
        </w:tc>
      </w:tr>
    </w:tbl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077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开标时间：2016年6月24日上午9:30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071077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评标时间：2016年6月25日上午9:00</w:t>
      </w:r>
      <w:r w:rsidRPr="00071077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071077" w:rsidRPr="00071077" w:rsidRDefault="00071077" w:rsidP="0007107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9" w:rsidRDefault="00E542A9" w:rsidP="00977078">
      <w:r>
        <w:separator/>
      </w:r>
    </w:p>
  </w:endnote>
  <w:endnote w:type="continuationSeparator" w:id="0">
    <w:p w:rsidR="00E542A9" w:rsidRDefault="00E542A9" w:rsidP="0097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9" w:rsidRDefault="00E542A9" w:rsidP="00977078">
      <w:r>
        <w:separator/>
      </w:r>
    </w:p>
  </w:footnote>
  <w:footnote w:type="continuationSeparator" w:id="0">
    <w:p w:rsidR="00E542A9" w:rsidRDefault="00E542A9" w:rsidP="0097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71077"/>
    <w:rsid w:val="006B317F"/>
    <w:rsid w:val="007B69A7"/>
    <w:rsid w:val="00977078"/>
    <w:rsid w:val="00995D37"/>
    <w:rsid w:val="00BD27C1"/>
    <w:rsid w:val="00E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7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70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7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7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7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70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7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7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06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5</cp:revision>
  <dcterms:created xsi:type="dcterms:W3CDTF">2016-06-27T07:49:00Z</dcterms:created>
  <dcterms:modified xsi:type="dcterms:W3CDTF">2016-06-27T08:13:00Z</dcterms:modified>
</cp:coreProperties>
</file>