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59" w:rsidRDefault="00DE3159" w:rsidP="00DE3159">
      <w:pPr>
        <w:spacing w:line="360" w:lineRule="auto"/>
        <w:ind w:firstLine="200"/>
        <w:contextualSpacing/>
        <w:mirrorIndents/>
        <w:jc w:val="left"/>
        <w:rPr>
          <w:rFonts w:ascii="宋体" w:hAnsi="宋体" w:cs="仿宋_GB2312" w:hint="eastAsia"/>
          <w:kern w:val="0"/>
          <w:sz w:val="28"/>
          <w:szCs w:val="28"/>
        </w:rPr>
      </w:pPr>
      <w:r>
        <w:rPr>
          <w:rFonts w:ascii="宋体" w:hAnsi="宋体" w:cs="仿宋_GB2312" w:hint="eastAsia"/>
          <w:kern w:val="0"/>
          <w:sz w:val="28"/>
          <w:szCs w:val="28"/>
        </w:rPr>
        <w:t>附表：                                 招标项目信息和资质要求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3403"/>
        <w:gridCol w:w="709"/>
        <w:gridCol w:w="714"/>
        <w:gridCol w:w="6092"/>
        <w:gridCol w:w="706"/>
        <w:gridCol w:w="1874"/>
      </w:tblGrid>
      <w:tr w:rsidR="00DE3159" w:rsidRPr="006334EE" w:rsidTr="00543F32">
        <w:trPr>
          <w:trHeight w:val="357"/>
        </w:trPr>
        <w:tc>
          <w:tcPr>
            <w:tcW w:w="238" w:type="pct"/>
            <w:vMerge w:val="restar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序号</w:t>
            </w:r>
          </w:p>
        </w:tc>
        <w:tc>
          <w:tcPr>
            <w:tcW w:w="1200" w:type="pct"/>
            <w:vMerge w:val="restar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项目名称</w:t>
            </w:r>
          </w:p>
        </w:tc>
        <w:tc>
          <w:tcPr>
            <w:tcW w:w="502" w:type="pct"/>
            <w:gridSpan w:val="2"/>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起止年限</w:t>
            </w:r>
          </w:p>
        </w:tc>
        <w:tc>
          <w:tcPr>
            <w:tcW w:w="2149" w:type="pct"/>
            <w:vMerge w:val="restar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主要工作任务</w:t>
            </w:r>
          </w:p>
        </w:tc>
        <w:tc>
          <w:tcPr>
            <w:tcW w:w="249" w:type="pct"/>
            <w:vMerge w:val="restart"/>
            <w:vAlign w:val="center"/>
          </w:tcPr>
          <w:p w:rsidR="00DE3159" w:rsidRPr="006334EE" w:rsidRDefault="00DE3159" w:rsidP="00543F32">
            <w:pPr>
              <w:widowControl/>
              <w:jc w:val="center"/>
              <w:rPr>
                <w:rFonts w:ascii="宋体" w:hAnsi="宋体" w:hint="eastAsia"/>
                <w:szCs w:val="21"/>
              </w:rPr>
            </w:pPr>
            <w:r>
              <w:rPr>
                <w:rFonts w:ascii="宋体" w:hAnsi="宋体" w:hint="eastAsia"/>
                <w:szCs w:val="21"/>
              </w:rPr>
              <w:t>项目类型</w:t>
            </w:r>
          </w:p>
        </w:tc>
        <w:tc>
          <w:tcPr>
            <w:tcW w:w="661" w:type="pct"/>
            <w:vMerge w:val="restart"/>
            <w:vAlign w:val="center"/>
          </w:tcPr>
          <w:p w:rsidR="00DE3159" w:rsidRPr="006334EE" w:rsidRDefault="00DE3159" w:rsidP="00543F32">
            <w:pPr>
              <w:spacing w:line="360" w:lineRule="auto"/>
              <w:contextualSpacing/>
              <w:mirrorIndents/>
              <w:jc w:val="center"/>
              <w:rPr>
                <w:rFonts w:ascii="宋体" w:hAnsi="宋体" w:hint="eastAsia"/>
                <w:szCs w:val="21"/>
              </w:rPr>
            </w:pPr>
            <w:r>
              <w:rPr>
                <w:rFonts w:ascii="宋体" w:hAnsi="宋体" w:hint="eastAsia"/>
                <w:szCs w:val="21"/>
              </w:rPr>
              <w:t>资质要求</w:t>
            </w:r>
          </w:p>
        </w:tc>
      </w:tr>
      <w:tr w:rsidR="00DE3159" w:rsidRPr="006334EE" w:rsidTr="00543F32">
        <w:trPr>
          <w:trHeight w:val="340"/>
        </w:trPr>
        <w:tc>
          <w:tcPr>
            <w:tcW w:w="238" w:type="pct"/>
            <w:vMerge/>
            <w:vAlign w:val="center"/>
          </w:tcPr>
          <w:p w:rsidR="00DE3159" w:rsidRPr="006334EE" w:rsidRDefault="00DE3159" w:rsidP="00543F32">
            <w:pPr>
              <w:spacing w:line="360" w:lineRule="auto"/>
              <w:contextualSpacing/>
              <w:mirrorIndents/>
              <w:jc w:val="center"/>
              <w:rPr>
                <w:rFonts w:ascii="宋体" w:hAnsi="宋体" w:hint="eastAsia"/>
                <w:szCs w:val="21"/>
              </w:rPr>
            </w:pPr>
          </w:p>
        </w:tc>
        <w:tc>
          <w:tcPr>
            <w:tcW w:w="1200" w:type="pct"/>
            <w:vMerge/>
            <w:vAlign w:val="center"/>
          </w:tcPr>
          <w:p w:rsidR="00DE3159" w:rsidRPr="006334EE" w:rsidRDefault="00DE3159" w:rsidP="00543F32">
            <w:pPr>
              <w:spacing w:line="360" w:lineRule="auto"/>
              <w:contextualSpacing/>
              <w:mirrorIndents/>
              <w:jc w:val="center"/>
              <w:rPr>
                <w:rFonts w:ascii="宋体" w:hAnsi="宋体" w:hint="eastAsia"/>
                <w:szCs w:val="21"/>
              </w:rPr>
            </w:pPr>
          </w:p>
        </w:tc>
        <w:tc>
          <w:tcPr>
            <w:tcW w:w="250"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起始</w:t>
            </w:r>
          </w:p>
        </w:tc>
        <w:tc>
          <w:tcPr>
            <w:tcW w:w="252"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终止</w:t>
            </w:r>
          </w:p>
        </w:tc>
        <w:tc>
          <w:tcPr>
            <w:tcW w:w="2149" w:type="pct"/>
            <w:vMerge/>
            <w:vAlign w:val="center"/>
          </w:tcPr>
          <w:p w:rsidR="00DE3159" w:rsidRPr="006334EE" w:rsidRDefault="00DE3159" w:rsidP="00543F32">
            <w:pPr>
              <w:spacing w:line="360" w:lineRule="auto"/>
              <w:contextualSpacing/>
              <w:mirrorIndents/>
              <w:jc w:val="center"/>
              <w:rPr>
                <w:rFonts w:ascii="宋体" w:hAnsi="宋体"/>
                <w:szCs w:val="21"/>
              </w:rPr>
            </w:pPr>
          </w:p>
        </w:tc>
        <w:tc>
          <w:tcPr>
            <w:tcW w:w="249" w:type="pct"/>
            <w:vMerge/>
            <w:vAlign w:val="center"/>
          </w:tcPr>
          <w:p w:rsidR="00DE3159" w:rsidRPr="006334EE" w:rsidRDefault="00DE3159" w:rsidP="00543F32">
            <w:pPr>
              <w:spacing w:line="360" w:lineRule="auto"/>
              <w:contextualSpacing/>
              <w:mirrorIndents/>
              <w:jc w:val="center"/>
              <w:rPr>
                <w:rFonts w:ascii="宋体" w:hAnsi="宋体"/>
                <w:szCs w:val="21"/>
              </w:rPr>
            </w:pPr>
          </w:p>
        </w:tc>
        <w:tc>
          <w:tcPr>
            <w:tcW w:w="661" w:type="pct"/>
            <w:vMerge/>
            <w:vAlign w:val="center"/>
          </w:tcPr>
          <w:p w:rsidR="00DE3159" w:rsidRPr="006334EE" w:rsidRDefault="00DE3159" w:rsidP="00543F32">
            <w:pPr>
              <w:spacing w:line="360" w:lineRule="auto"/>
              <w:contextualSpacing/>
              <w:mirrorIndents/>
              <w:jc w:val="center"/>
              <w:rPr>
                <w:rFonts w:ascii="宋体" w:hAnsi="宋体"/>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1</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潮白河流域矿产资源开发水土环境影响调查评价</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开展潮白河流域矿山开采区域地质环境详细调查，查明区内以含水层破坏为主的矿山地质环境问题及其危害，评价采矿活动对区域地质环境的影响</w:t>
            </w:r>
            <w:r>
              <w:rPr>
                <w:rFonts w:ascii="宋体" w:hAnsi="宋体" w:hint="eastAsia"/>
                <w:szCs w:val="21"/>
              </w:rPr>
              <w:t>,编制相关图件</w:t>
            </w:r>
            <w:r w:rsidRPr="006334EE">
              <w:rPr>
                <w:rFonts w:ascii="宋体" w:hAnsi="宋体" w:hint="eastAsia"/>
                <w:szCs w:val="21"/>
              </w:rPr>
              <w:t>。</w:t>
            </w:r>
          </w:p>
        </w:tc>
        <w:tc>
          <w:tcPr>
            <w:tcW w:w="249" w:type="pct"/>
            <w:vMerge w:val="restart"/>
            <w:vAlign w:val="center"/>
          </w:tcPr>
          <w:p w:rsidR="00DE3159" w:rsidRPr="006334EE" w:rsidRDefault="00DE3159" w:rsidP="00543F32">
            <w:pPr>
              <w:widowControl/>
              <w:jc w:val="center"/>
              <w:rPr>
                <w:rFonts w:ascii="宋体" w:hAnsi="宋体" w:hint="eastAsia"/>
                <w:szCs w:val="21"/>
              </w:rPr>
            </w:pPr>
            <w:r>
              <w:rPr>
                <w:rFonts w:ascii="宋体" w:hAnsi="宋体" w:hint="eastAsia"/>
                <w:szCs w:val="21"/>
              </w:rPr>
              <w:t>矿山地质环境调查</w:t>
            </w:r>
          </w:p>
        </w:tc>
        <w:tc>
          <w:tcPr>
            <w:tcW w:w="661" w:type="pct"/>
            <w:vMerge w:val="restart"/>
            <w:vAlign w:val="center"/>
          </w:tcPr>
          <w:p w:rsidR="00DE3159" w:rsidRPr="006334EE" w:rsidRDefault="00DE3159" w:rsidP="00543F32">
            <w:pPr>
              <w:widowControl/>
              <w:jc w:val="center"/>
              <w:rPr>
                <w:rFonts w:ascii="宋体" w:hAnsi="宋体" w:hint="eastAsia"/>
                <w:szCs w:val="21"/>
              </w:rPr>
            </w:pPr>
            <w:r>
              <w:rPr>
                <w:rFonts w:ascii="宋体" w:hAnsi="宋体" w:cs="宋体" w:hint="eastAsia"/>
                <w:color w:val="333333"/>
                <w:kern w:val="0"/>
                <w:szCs w:val="21"/>
              </w:rPr>
              <w:t>要求具备</w:t>
            </w:r>
            <w:r w:rsidRPr="00756006">
              <w:rPr>
                <w:rFonts w:ascii="宋体" w:hAnsi="宋体" w:cs="宋体" w:hint="eastAsia"/>
                <w:color w:val="333333"/>
                <w:kern w:val="0"/>
                <w:szCs w:val="21"/>
              </w:rPr>
              <w:t>水文地质、工程地质、环境地质调查</w:t>
            </w:r>
            <w:r>
              <w:rPr>
                <w:rFonts w:ascii="宋体" w:hAnsi="宋体" w:cs="宋体" w:hint="eastAsia"/>
                <w:color w:val="333333"/>
                <w:kern w:val="0"/>
                <w:szCs w:val="21"/>
              </w:rPr>
              <w:t>乙级以上（含乙级）资质或地质灾害治理工程勘查甲级资质</w:t>
            </w: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2</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淮南煤炭矿区矿山地质环境调查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开展安徽淮南煤炭矿山开采区域地质环境详细调查，查明区内以地面塌陷和含水层破坏为主的矿山地质环境问题及其危害，评价采矿活动对区域地质环境的影响</w:t>
            </w:r>
            <w:r>
              <w:rPr>
                <w:rFonts w:ascii="宋体" w:hAnsi="宋体" w:hint="eastAsia"/>
                <w:szCs w:val="21"/>
              </w:rPr>
              <w:t>,编制相关图件</w:t>
            </w:r>
            <w:r w:rsidRPr="006334EE">
              <w:rPr>
                <w:rFonts w:ascii="宋体" w:hAnsi="宋体" w:hint="eastAsia"/>
                <w:szCs w:val="21"/>
              </w:rPr>
              <w:t>。</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3</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湘南有色金属、煤炭矿区矿山地质环境调查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开展湘南有色金属、煤炭矿山开采区域地质环境详细调查，查明区内以水土环境污染为主的矿山地质环境问题及其危害，分析评价采矿活动对区域地质环境的影响</w:t>
            </w:r>
            <w:r>
              <w:rPr>
                <w:rFonts w:ascii="宋体" w:hAnsi="宋体" w:hint="eastAsia"/>
                <w:szCs w:val="21"/>
              </w:rPr>
              <w:t>,编制相关图件</w:t>
            </w:r>
            <w:r w:rsidRPr="006334EE">
              <w:rPr>
                <w:rFonts w:ascii="宋体" w:hAnsi="宋体" w:hint="eastAsia"/>
                <w:szCs w:val="21"/>
              </w:rPr>
              <w:t>。</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4</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山西霍西煤炭矿区矿山地质环境调查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开展山西霍西煤炭矿山开采区域地质环境详细调查，查明区内以滑坡、地面塌陷和岩溶</w:t>
            </w:r>
            <w:proofErr w:type="gramStart"/>
            <w:r w:rsidRPr="006334EE">
              <w:rPr>
                <w:rFonts w:ascii="宋体" w:hAnsi="宋体" w:hint="eastAsia"/>
                <w:szCs w:val="21"/>
              </w:rPr>
              <w:t>水破坏</w:t>
            </w:r>
            <w:proofErr w:type="gramEnd"/>
            <w:r w:rsidRPr="006334EE">
              <w:rPr>
                <w:rFonts w:ascii="宋体" w:hAnsi="宋体" w:hint="eastAsia"/>
                <w:szCs w:val="21"/>
              </w:rPr>
              <w:t>为主的矿山地质环境问题及其危害，评价采矿活动对区域地质环境的影响</w:t>
            </w:r>
            <w:r>
              <w:rPr>
                <w:rFonts w:ascii="宋体" w:hAnsi="宋体" w:hint="eastAsia"/>
                <w:szCs w:val="21"/>
              </w:rPr>
              <w:t>,编制相关图件</w:t>
            </w:r>
            <w:r w:rsidRPr="006334EE">
              <w:rPr>
                <w:rFonts w:ascii="宋体" w:hAnsi="宋体" w:hint="eastAsia"/>
                <w:szCs w:val="21"/>
              </w:rPr>
              <w:t>。</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5</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鲁中煤铁矿区矿山地质环境调查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开展新泰、莱芜煤铁矿区的矿山地质环境详细调查，查明区内以地面塌陷和含水层破坏为主的矿山地质环境问题及其危害，分析评价采矿活动对区域地质环境的影响</w:t>
            </w:r>
            <w:r>
              <w:rPr>
                <w:rFonts w:ascii="宋体" w:hAnsi="宋体" w:hint="eastAsia"/>
                <w:szCs w:val="21"/>
              </w:rPr>
              <w:t>,编制相关图件</w:t>
            </w:r>
            <w:r w:rsidRPr="006334EE">
              <w:rPr>
                <w:rFonts w:ascii="宋体" w:hAnsi="宋体" w:hint="eastAsia"/>
                <w:szCs w:val="21"/>
              </w:rPr>
              <w:t>。</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6</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攀西铁矿区矿山地质环境调查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开展四川攀西铁矿区矿山地质环境详细调查，查明区内以矿山地质灾害和水环境污染为主的矿山地质环境问题及其危害，分析评价采矿活动对区域地质环境的影响</w:t>
            </w:r>
            <w:r>
              <w:rPr>
                <w:rFonts w:ascii="宋体" w:hAnsi="宋体" w:hint="eastAsia"/>
                <w:szCs w:val="21"/>
              </w:rPr>
              <w:t>,编制相关图件</w:t>
            </w:r>
            <w:r w:rsidRPr="006334EE">
              <w:rPr>
                <w:rFonts w:ascii="宋体" w:hAnsi="宋体" w:hint="eastAsia"/>
                <w:szCs w:val="21"/>
              </w:rPr>
              <w:t>。</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7</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贵州六盘水</w:t>
            </w:r>
            <w:proofErr w:type="gramStart"/>
            <w:r w:rsidRPr="006334EE">
              <w:rPr>
                <w:rFonts w:ascii="宋体" w:hAnsi="宋体" w:hint="eastAsia"/>
                <w:szCs w:val="21"/>
              </w:rPr>
              <w:t>水城</w:t>
            </w:r>
            <w:r w:rsidRPr="006334EE">
              <w:rPr>
                <w:rFonts w:ascii="宋体" w:hAnsi="宋体"/>
                <w:szCs w:val="21"/>
              </w:rPr>
              <w:t>—</w:t>
            </w:r>
            <w:r w:rsidRPr="006334EE">
              <w:rPr>
                <w:rFonts w:ascii="宋体" w:hAnsi="宋体" w:hint="eastAsia"/>
                <w:szCs w:val="21"/>
              </w:rPr>
              <w:t>钟山区</w:t>
            </w:r>
            <w:proofErr w:type="gramEnd"/>
            <w:r w:rsidRPr="006334EE">
              <w:rPr>
                <w:rFonts w:ascii="宋体" w:hAnsi="宋体" w:hint="eastAsia"/>
                <w:szCs w:val="21"/>
              </w:rPr>
              <w:t>煤炭矿区矿山地质环境调查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开展贵州盘江煤炭矿区矿山地质环境详细调查，查明区内以地面塌陷和含水层破坏为主的矿山地质环境问题及其危害，分析评价采矿活动对区域地质环境的影响</w:t>
            </w:r>
            <w:r>
              <w:rPr>
                <w:rFonts w:ascii="宋体" w:hAnsi="宋体" w:hint="eastAsia"/>
                <w:szCs w:val="21"/>
              </w:rPr>
              <w:t>,编制相关图件</w:t>
            </w:r>
            <w:r w:rsidRPr="006334EE">
              <w:rPr>
                <w:rFonts w:ascii="宋体" w:hAnsi="宋体" w:hint="eastAsia"/>
                <w:szCs w:val="21"/>
              </w:rPr>
              <w:t>。</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lastRenderedPageBreak/>
              <w:t>8</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焦作矿山地质环境调查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开展焦作市矿山地质环境调查，摸清区内地质环境现状</w:t>
            </w:r>
            <w:r>
              <w:rPr>
                <w:rFonts w:ascii="宋体" w:hAnsi="宋体" w:hint="eastAsia"/>
                <w:szCs w:val="21"/>
              </w:rPr>
              <w:t>和水文地质工程地质条件</w:t>
            </w:r>
            <w:r w:rsidRPr="006334EE">
              <w:rPr>
                <w:rFonts w:ascii="宋体" w:hAnsi="宋体" w:hint="eastAsia"/>
                <w:szCs w:val="21"/>
              </w:rPr>
              <w:t>，查明矿山地质环境问题类型、特征及危害，分析矿山地质环境治理措施及效果，评价采矿活动对地质环境的影响，建立焦作市矿山地质环境调查数据库</w:t>
            </w:r>
            <w:r>
              <w:rPr>
                <w:rFonts w:ascii="宋体" w:hAnsi="宋体" w:hint="eastAsia"/>
                <w:szCs w:val="21"/>
              </w:rPr>
              <w:t>,编制相关图件</w:t>
            </w:r>
            <w:r w:rsidRPr="006334EE">
              <w:rPr>
                <w:rFonts w:ascii="宋体" w:hAnsi="宋体" w:hint="eastAsia"/>
                <w:szCs w:val="21"/>
              </w:rPr>
              <w:t>。</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9</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承德武烈河流域矿山地质环境调查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承德市武烈河流域矿山地质环境调查，摸清区域地质环境条件、矿山分布、开采历史及现状，查明区内矿山地质环境问题类型、特征及危害，评价采矿活动对地质环境尤其是武烈河河谷地下含水层的影响，建立承德市武烈河流域矿山地质环境调查数据库</w:t>
            </w:r>
            <w:r>
              <w:rPr>
                <w:rFonts w:ascii="宋体" w:hAnsi="宋体" w:hint="eastAsia"/>
                <w:szCs w:val="21"/>
              </w:rPr>
              <w:t>,编制相关图件</w:t>
            </w:r>
            <w:r w:rsidRPr="006334EE">
              <w:rPr>
                <w:rFonts w:ascii="宋体" w:hAnsi="宋体" w:hint="eastAsia"/>
                <w:szCs w:val="21"/>
              </w:rPr>
              <w:t>。</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10</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唐山煤炭开采区地面塌陷调查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系统收集、综合分析唐山市煤炭开采区地面塌陷相关资料，开展地面塌陷地质调查工作，查明唐山市主要煤炭开采区地面塌陷</w:t>
            </w:r>
            <w:r w:rsidRPr="006334EE">
              <w:rPr>
                <w:rFonts w:ascii="宋体" w:hAnsi="宋体"/>
                <w:szCs w:val="21"/>
              </w:rPr>
              <w:t>的</w:t>
            </w:r>
            <w:r w:rsidRPr="006334EE">
              <w:rPr>
                <w:rFonts w:ascii="宋体" w:hAnsi="宋体" w:hint="eastAsia"/>
                <w:szCs w:val="21"/>
              </w:rPr>
              <w:t>分布</w:t>
            </w:r>
            <w:r w:rsidRPr="006334EE">
              <w:rPr>
                <w:rFonts w:ascii="宋体" w:hAnsi="宋体"/>
                <w:szCs w:val="21"/>
              </w:rPr>
              <w:t>范围</w:t>
            </w:r>
            <w:r w:rsidRPr="006334EE">
              <w:rPr>
                <w:rFonts w:ascii="宋体" w:hAnsi="宋体" w:hint="eastAsia"/>
                <w:szCs w:val="21"/>
              </w:rPr>
              <w:t>、主要控制因素及</w:t>
            </w:r>
            <w:r w:rsidRPr="006334EE">
              <w:rPr>
                <w:rFonts w:ascii="宋体" w:hAnsi="宋体"/>
                <w:szCs w:val="21"/>
              </w:rPr>
              <w:t>危害程度，</w:t>
            </w:r>
            <w:r w:rsidRPr="006334EE">
              <w:rPr>
                <w:rFonts w:ascii="宋体" w:hAnsi="宋体" w:hint="eastAsia"/>
                <w:szCs w:val="21"/>
              </w:rPr>
              <w:t>提出地面塌陷防治对策建议</w:t>
            </w:r>
            <w:r>
              <w:rPr>
                <w:rFonts w:ascii="宋体" w:hAnsi="宋体" w:hint="eastAsia"/>
                <w:szCs w:val="21"/>
              </w:rPr>
              <w:t>,编制相关图件</w:t>
            </w:r>
            <w:r w:rsidRPr="006334EE">
              <w:rPr>
                <w:rFonts w:ascii="宋体" w:hAnsi="宋体" w:hint="eastAsia"/>
                <w:szCs w:val="21"/>
              </w:rPr>
              <w:t>。</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11</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浙江</w:t>
            </w:r>
            <w:r w:rsidRPr="006334EE">
              <w:rPr>
                <w:rFonts w:ascii="宋体" w:hAnsi="宋体"/>
                <w:szCs w:val="21"/>
              </w:rPr>
              <w:t>1</w:t>
            </w:r>
            <w:r w:rsidRPr="006334EE">
              <w:rPr>
                <w:rFonts w:ascii="宋体" w:hAnsi="宋体" w:hint="eastAsia"/>
                <w:szCs w:val="21"/>
              </w:rPr>
              <w:t>：</w:t>
            </w:r>
            <w:proofErr w:type="gramStart"/>
            <w:r w:rsidRPr="006334EE">
              <w:rPr>
                <w:rFonts w:ascii="宋体" w:hAnsi="宋体"/>
                <w:szCs w:val="21"/>
              </w:rPr>
              <w:t>5</w:t>
            </w:r>
            <w:r w:rsidRPr="006334EE">
              <w:rPr>
                <w:rFonts w:ascii="宋体" w:hAnsi="宋体" w:hint="eastAsia"/>
                <w:szCs w:val="21"/>
              </w:rPr>
              <w:t>万力洋镇</w:t>
            </w:r>
            <w:proofErr w:type="gramEnd"/>
            <w:r w:rsidRPr="006334EE">
              <w:rPr>
                <w:rFonts w:ascii="宋体" w:hAnsi="宋体" w:hint="eastAsia"/>
                <w:szCs w:val="21"/>
              </w:rPr>
              <w:t>（</w:t>
            </w:r>
            <w:r w:rsidRPr="006334EE">
              <w:rPr>
                <w:rFonts w:ascii="宋体" w:hAnsi="宋体"/>
                <w:szCs w:val="21"/>
              </w:rPr>
              <w:t>H51E017007</w:t>
            </w:r>
            <w:r w:rsidRPr="006334EE">
              <w:rPr>
                <w:rFonts w:ascii="宋体" w:hAnsi="宋体" w:hint="eastAsia"/>
                <w:szCs w:val="21"/>
              </w:rPr>
              <w:t>）、石浦镇（</w:t>
            </w:r>
            <w:r w:rsidRPr="006334EE">
              <w:rPr>
                <w:rFonts w:ascii="宋体" w:hAnsi="宋体"/>
                <w:szCs w:val="21"/>
              </w:rPr>
              <w:t>H51E017008</w:t>
            </w:r>
            <w:r w:rsidRPr="006334EE">
              <w:rPr>
                <w:rFonts w:ascii="宋体" w:hAnsi="宋体" w:hint="eastAsia"/>
                <w:szCs w:val="21"/>
              </w:rPr>
              <w:t>）环境地质调查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按照相关技术标准查明工作区地质环境背景及存在问题、主要地质资源及利用现状，进行地质环境评价与区划、水资源保障程度与应急地下水源地论证，提出环境地质问题防治对策，建立环境地质调查数据库等，为国土开发与地质环境综合管理提供科学依据。</w:t>
            </w:r>
          </w:p>
        </w:tc>
        <w:tc>
          <w:tcPr>
            <w:tcW w:w="249" w:type="pct"/>
            <w:vAlign w:val="center"/>
          </w:tcPr>
          <w:p w:rsidR="00DE3159" w:rsidRPr="006334EE" w:rsidRDefault="00DE3159" w:rsidP="00543F32">
            <w:pPr>
              <w:widowControl/>
              <w:jc w:val="center"/>
              <w:rPr>
                <w:rFonts w:ascii="宋体" w:hAnsi="宋体" w:hint="eastAsia"/>
                <w:szCs w:val="21"/>
              </w:rPr>
            </w:pPr>
            <w:r>
              <w:rPr>
                <w:rFonts w:ascii="宋体" w:hAnsi="宋体" w:hint="eastAsia"/>
                <w:szCs w:val="21"/>
              </w:rPr>
              <w:t>环境地质调查</w:t>
            </w:r>
          </w:p>
        </w:tc>
        <w:tc>
          <w:tcPr>
            <w:tcW w:w="661" w:type="pct"/>
            <w:vAlign w:val="center"/>
          </w:tcPr>
          <w:p w:rsidR="00DE3159" w:rsidRPr="006334EE" w:rsidRDefault="00DE3159" w:rsidP="00543F32">
            <w:pPr>
              <w:widowControl/>
              <w:jc w:val="center"/>
              <w:rPr>
                <w:rFonts w:ascii="宋体" w:hAnsi="宋体" w:hint="eastAsia"/>
                <w:szCs w:val="21"/>
              </w:rPr>
            </w:pPr>
            <w:r>
              <w:rPr>
                <w:rFonts w:ascii="宋体" w:hAnsi="宋体" w:cs="宋体" w:hint="eastAsia"/>
                <w:color w:val="333333"/>
                <w:kern w:val="0"/>
                <w:szCs w:val="21"/>
              </w:rPr>
              <w:t>要求具备</w:t>
            </w:r>
            <w:r w:rsidRPr="00756006">
              <w:rPr>
                <w:rFonts w:ascii="宋体" w:hAnsi="宋体" w:cs="宋体" w:hint="eastAsia"/>
                <w:color w:val="333333"/>
                <w:kern w:val="0"/>
                <w:szCs w:val="21"/>
              </w:rPr>
              <w:t>水文地质、工程地质、环境地质调查</w:t>
            </w:r>
            <w:r>
              <w:rPr>
                <w:rFonts w:ascii="宋体" w:hAnsi="宋体" w:cs="宋体" w:hint="eastAsia"/>
                <w:color w:val="333333"/>
                <w:kern w:val="0"/>
                <w:szCs w:val="21"/>
              </w:rPr>
              <w:t>乙级以上（含乙级）资质</w:t>
            </w: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12</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乌蒙山区小流域地质灾害调查</w:t>
            </w:r>
          </w:p>
        </w:tc>
        <w:tc>
          <w:tcPr>
            <w:tcW w:w="250" w:type="pct"/>
            <w:vAlign w:val="center"/>
          </w:tcPr>
          <w:p w:rsidR="00DE3159" w:rsidRPr="006334EE" w:rsidRDefault="00DE3159" w:rsidP="00543F32">
            <w:pPr>
              <w:widowControl/>
              <w:jc w:val="center"/>
              <w:rPr>
                <w:rFonts w:ascii="宋体" w:hAnsi="宋体"/>
                <w:szCs w:val="21"/>
              </w:rPr>
            </w:pPr>
          </w:p>
        </w:tc>
        <w:tc>
          <w:tcPr>
            <w:tcW w:w="252" w:type="pct"/>
            <w:vAlign w:val="center"/>
          </w:tcPr>
          <w:p w:rsidR="00DE3159" w:rsidRPr="006334EE" w:rsidRDefault="00DE3159" w:rsidP="00543F32">
            <w:pPr>
              <w:widowControl/>
              <w:jc w:val="center"/>
              <w:rPr>
                <w:rFonts w:ascii="宋体" w:hAnsi="宋体"/>
                <w:szCs w:val="21"/>
              </w:rPr>
            </w:pPr>
          </w:p>
        </w:tc>
        <w:tc>
          <w:tcPr>
            <w:tcW w:w="2149" w:type="pct"/>
            <w:vAlign w:val="center"/>
          </w:tcPr>
          <w:p w:rsidR="00DE3159" w:rsidRPr="006334EE" w:rsidRDefault="00DE3159" w:rsidP="00543F32">
            <w:pPr>
              <w:spacing w:line="360" w:lineRule="auto"/>
              <w:contextualSpacing/>
              <w:mirrorIndents/>
              <w:jc w:val="center"/>
              <w:rPr>
                <w:rFonts w:ascii="宋体" w:hAnsi="宋体"/>
                <w:szCs w:val="21"/>
              </w:rPr>
            </w:pPr>
          </w:p>
        </w:tc>
        <w:tc>
          <w:tcPr>
            <w:tcW w:w="249" w:type="pct"/>
            <w:vMerge w:val="restart"/>
            <w:vAlign w:val="center"/>
          </w:tcPr>
          <w:p w:rsidR="00DE3159" w:rsidRPr="006334EE" w:rsidRDefault="00DE3159" w:rsidP="00543F32">
            <w:pPr>
              <w:jc w:val="center"/>
              <w:rPr>
                <w:rFonts w:ascii="宋体" w:hAnsi="宋体"/>
                <w:szCs w:val="21"/>
              </w:rPr>
            </w:pPr>
            <w:r>
              <w:rPr>
                <w:rFonts w:ascii="宋体" w:hAnsi="宋体" w:hint="eastAsia"/>
                <w:szCs w:val="21"/>
              </w:rPr>
              <w:t>地质灾害调查</w:t>
            </w:r>
          </w:p>
        </w:tc>
        <w:tc>
          <w:tcPr>
            <w:tcW w:w="661" w:type="pct"/>
            <w:vMerge w:val="restart"/>
            <w:vAlign w:val="center"/>
          </w:tcPr>
          <w:p w:rsidR="00DE3159" w:rsidRPr="006334EE" w:rsidRDefault="00DE3159" w:rsidP="00543F32">
            <w:pPr>
              <w:widowControl/>
              <w:jc w:val="center"/>
              <w:rPr>
                <w:rFonts w:ascii="宋体" w:hAnsi="宋体"/>
                <w:szCs w:val="21"/>
              </w:rPr>
            </w:pPr>
            <w:r w:rsidRPr="007953B1">
              <w:rPr>
                <w:rFonts w:ascii="宋体" w:hAnsi="宋体" w:cs="宋体" w:hint="eastAsia"/>
                <w:color w:val="333333"/>
                <w:kern w:val="0"/>
                <w:szCs w:val="21"/>
              </w:rPr>
              <w:t>要求具备水文地质、工程地质、环境地质调查乙级以上（含乙级）资质或地质灾害治理工程勘查甲级资质</w:t>
            </w: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（1）</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乌蒙山区小流域地质灾害调查第一标段</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开展乌蒙山区小流域地质灾害及地质环境背景</w:t>
            </w:r>
            <w:r>
              <w:rPr>
                <w:rFonts w:ascii="宋体" w:hAnsi="宋体" w:hint="eastAsia"/>
                <w:szCs w:val="21"/>
              </w:rPr>
              <w:t>与工程地质</w:t>
            </w:r>
            <w:r w:rsidRPr="006334EE">
              <w:rPr>
                <w:rFonts w:ascii="宋体" w:hAnsi="宋体" w:hint="eastAsia"/>
                <w:szCs w:val="21"/>
              </w:rPr>
              <w:t>条件调查评价，建立地质灾害空间数据库</w:t>
            </w:r>
            <w:r>
              <w:rPr>
                <w:rFonts w:ascii="宋体" w:hAnsi="宋体" w:hint="eastAsia"/>
                <w:szCs w:val="21"/>
              </w:rPr>
              <w:t>,编制相关图件</w:t>
            </w:r>
            <w:r w:rsidRPr="006334EE">
              <w:rPr>
                <w:rFonts w:ascii="宋体" w:hAnsi="宋体" w:hint="eastAsia"/>
                <w:szCs w:val="21"/>
              </w:rPr>
              <w:t>。工作区主要位于四川省雷波县和云南省永善县，包括丁家坪村（</w:t>
            </w:r>
            <w:r w:rsidRPr="006334EE">
              <w:rPr>
                <w:rFonts w:ascii="宋体" w:hAnsi="宋体"/>
                <w:szCs w:val="21"/>
              </w:rPr>
              <w:t>H48E023006</w:t>
            </w:r>
            <w:r w:rsidRPr="006334EE">
              <w:rPr>
                <w:rFonts w:ascii="宋体" w:hAnsi="宋体" w:hint="eastAsia"/>
                <w:szCs w:val="21"/>
              </w:rPr>
              <w:t>）、雷波县（</w:t>
            </w:r>
            <w:r w:rsidRPr="006334EE">
              <w:rPr>
                <w:rFonts w:ascii="宋体" w:hAnsi="宋体"/>
                <w:szCs w:val="21"/>
              </w:rPr>
              <w:t>H48E023007</w:t>
            </w:r>
            <w:r w:rsidRPr="006334EE">
              <w:rPr>
                <w:rFonts w:ascii="宋体" w:hAnsi="宋体" w:hint="eastAsia"/>
                <w:szCs w:val="21"/>
              </w:rPr>
              <w:t>）、上田坝乡（</w:t>
            </w:r>
            <w:r w:rsidRPr="006334EE">
              <w:rPr>
                <w:rFonts w:ascii="宋体" w:hAnsi="宋体"/>
                <w:szCs w:val="21"/>
              </w:rPr>
              <w:t>H48E024006</w:t>
            </w:r>
            <w:r w:rsidRPr="006334EE">
              <w:rPr>
                <w:rFonts w:ascii="宋体" w:hAnsi="宋体" w:hint="eastAsia"/>
                <w:szCs w:val="21"/>
              </w:rPr>
              <w:t>）3个图幅。</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（2）</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乌蒙山区小流域地质灾害调查第二</w:t>
            </w:r>
            <w:r w:rsidRPr="006334EE">
              <w:rPr>
                <w:rFonts w:ascii="宋体" w:hAnsi="宋体" w:hint="eastAsia"/>
                <w:szCs w:val="21"/>
              </w:rPr>
              <w:lastRenderedPageBreak/>
              <w:t>标段</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lastRenderedPageBreak/>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开展乌蒙山区小流域地质灾害及地质环境背景</w:t>
            </w:r>
            <w:r>
              <w:rPr>
                <w:rFonts w:ascii="宋体" w:hAnsi="宋体" w:hint="eastAsia"/>
                <w:szCs w:val="21"/>
              </w:rPr>
              <w:t>与工程地质</w:t>
            </w:r>
            <w:r w:rsidRPr="006334EE">
              <w:rPr>
                <w:rFonts w:ascii="宋体" w:hAnsi="宋体" w:hint="eastAsia"/>
                <w:szCs w:val="21"/>
              </w:rPr>
              <w:t>条件</w:t>
            </w:r>
            <w:r w:rsidRPr="006334EE">
              <w:rPr>
                <w:rFonts w:ascii="宋体" w:hAnsi="宋体" w:hint="eastAsia"/>
                <w:szCs w:val="21"/>
              </w:rPr>
              <w:lastRenderedPageBreak/>
              <w:t>调查评价，建立地质灾害空间数据库</w:t>
            </w:r>
            <w:r>
              <w:rPr>
                <w:rFonts w:ascii="宋体" w:hAnsi="宋体" w:hint="eastAsia"/>
                <w:szCs w:val="21"/>
              </w:rPr>
              <w:t>,编制相关图件</w:t>
            </w:r>
            <w:r w:rsidRPr="006334EE">
              <w:rPr>
                <w:rFonts w:ascii="宋体" w:hAnsi="宋体" w:hint="eastAsia"/>
                <w:szCs w:val="21"/>
              </w:rPr>
              <w:t>。工作区主要位于四川省凉山彝族自治州雷波县和美姑县，包括觉</w:t>
            </w:r>
            <w:proofErr w:type="gramStart"/>
            <w:r w:rsidRPr="006334EE">
              <w:rPr>
                <w:rFonts w:ascii="宋体" w:hAnsi="宋体" w:hint="eastAsia"/>
                <w:szCs w:val="21"/>
              </w:rPr>
              <w:t>洛</w:t>
            </w:r>
            <w:proofErr w:type="gramEnd"/>
            <w:r w:rsidRPr="006334EE">
              <w:rPr>
                <w:rFonts w:ascii="宋体" w:hAnsi="宋体" w:hint="eastAsia"/>
                <w:szCs w:val="21"/>
              </w:rPr>
              <w:t>乡（</w:t>
            </w:r>
            <w:r w:rsidRPr="006334EE">
              <w:rPr>
                <w:rFonts w:ascii="宋体" w:hAnsi="宋体"/>
                <w:szCs w:val="21"/>
              </w:rPr>
              <w:t>H48E02</w:t>
            </w:r>
            <w:r w:rsidRPr="006334EE">
              <w:rPr>
                <w:rFonts w:ascii="宋体" w:hAnsi="宋体" w:hint="eastAsia"/>
                <w:szCs w:val="21"/>
              </w:rPr>
              <w:t>2</w:t>
            </w:r>
            <w:r w:rsidRPr="006334EE">
              <w:rPr>
                <w:rFonts w:ascii="宋体" w:hAnsi="宋体"/>
                <w:szCs w:val="21"/>
              </w:rPr>
              <w:t>00</w:t>
            </w:r>
            <w:r w:rsidRPr="006334EE">
              <w:rPr>
                <w:rFonts w:ascii="宋体" w:hAnsi="宋体" w:hint="eastAsia"/>
                <w:szCs w:val="21"/>
              </w:rPr>
              <w:t>5）、美姑县（</w:t>
            </w:r>
            <w:r w:rsidRPr="006334EE">
              <w:rPr>
                <w:rFonts w:ascii="宋体" w:hAnsi="宋体"/>
                <w:szCs w:val="21"/>
              </w:rPr>
              <w:t>H48E02300</w:t>
            </w:r>
            <w:r w:rsidRPr="006334EE">
              <w:rPr>
                <w:rFonts w:ascii="宋体" w:hAnsi="宋体" w:hint="eastAsia"/>
                <w:szCs w:val="21"/>
              </w:rPr>
              <w:t>5）2个图幅。</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lastRenderedPageBreak/>
              <w:t>（3）</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乌蒙山区小流域地质灾害调查第三标段</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开展乌蒙山区小流域地质灾害及地质环境背景</w:t>
            </w:r>
            <w:r>
              <w:rPr>
                <w:rFonts w:ascii="宋体" w:hAnsi="宋体" w:hint="eastAsia"/>
                <w:szCs w:val="21"/>
              </w:rPr>
              <w:t>与工程地质</w:t>
            </w:r>
            <w:r w:rsidRPr="006334EE">
              <w:rPr>
                <w:rFonts w:ascii="宋体" w:hAnsi="宋体" w:hint="eastAsia"/>
                <w:szCs w:val="21"/>
              </w:rPr>
              <w:t>条件调查评价，建立地质灾害空间数据库</w:t>
            </w:r>
            <w:r>
              <w:rPr>
                <w:rFonts w:ascii="宋体" w:hAnsi="宋体" w:hint="eastAsia"/>
                <w:szCs w:val="21"/>
              </w:rPr>
              <w:t>,编制相关图件</w:t>
            </w:r>
            <w:r w:rsidRPr="006334EE">
              <w:rPr>
                <w:rFonts w:ascii="宋体" w:hAnsi="宋体" w:hint="eastAsia"/>
                <w:szCs w:val="21"/>
              </w:rPr>
              <w:t>。工作区主要位于四川省宁南县和云南省巧家县，包括松新镇（G</w:t>
            </w:r>
            <w:r w:rsidRPr="006334EE">
              <w:rPr>
                <w:rFonts w:ascii="宋体" w:hAnsi="宋体"/>
                <w:szCs w:val="21"/>
              </w:rPr>
              <w:t>4</w:t>
            </w:r>
            <w:r w:rsidRPr="006334EE">
              <w:rPr>
                <w:rFonts w:ascii="宋体" w:hAnsi="宋体" w:hint="eastAsia"/>
                <w:szCs w:val="21"/>
              </w:rPr>
              <w:t>8</w:t>
            </w:r>
            <w:r w:rsidRPr="006334EE">
              <w:rPr>
                <w:rFonts w:ascii="宋体" w:hAnsi="宋体"/>
                <w:szCs w:val="21"/>
              </w:rPr>
              <w:t>E0</w:t>
            </w:r>
            <w:r w:rsidRPr="006334EE">
              <w:rPr>
                <w:rFonts w:ascii="宋体" w:hAnsi="宋体" w:hint="eastAsia"/>
                <w:szCs w:val="21"/>
              </w:rPr>
              <w:t>05</w:t>
            </w:r>
            <w:r w:rsidRPr="006334EE">
              <w:rPr>
                <w:rFonts w:ascii="宋体" w:hAnsi="宋体"/>
                <w:szCs w:val="21"/>
              </w:rPr>
              <w:t>0</w:t>
            </w:r>
            <w:r w:rsidRPr="006334EE">
              <w:rPr>
                <w:rFonts w:ascii="宋体" w:hAnsi="宋体" w:hint="eastAsia"/>
                <w:szCs w:val="21"/>
              </w:rPr>
              <w:t>03）、</w:t>
            </w:r>
            <w:r w:rsidRPr="006334EE">
              <w:rPr>
                <w:rFonts w:ascii="宋体" w:hAnsi="宋体"/>
                <w:szCs w:val="21"/>
              </w:rPr>
              <w:t>俱乐乡</w:t>
            </w:r>
            <w:r w:rsidRPr="006334EE">
              <w:rPr>
                <w:rFonts w:ascii="宋体" w:hAnsi="宋体" w:hint="eastAsia"/>
                <w:szCs w:val="21"/>
              </w:rPr>
              <w:t>（G</w:t>
            </w:r>
            <w:r w:rsidRPr="006334EE">
              <w:rPr>
                <w:rFonts w:ascii="宋体" w:hAnsi="宋体"/>
                <w:szCs w:val="21"/>
              </w:rPr>
              <w:t>4</w:t>
            </w:r>
            <w:r w:rsidRPr="006334EE">
              <w:rPr>
                <w:rFonts w:ascii="宋体" w:hAnsi="宋体" w:hint="eastAsia"/>
                <w:szCs w:val="21"/>
              </w:rPr>
              <w:t>8</w:t>
            </w:r>
            <w:r w:rsidRPr="006334EE">
              <w:rPr>
                <w:rFonts w:ascii="宋体" w:hAnsi="宋体"/>
                <w:szCs w:val="21"/>
              </w:rPr>
              <w:t>E0</w:t>
            </w:r>
            <w:r w:rsidRPr="006334EE">
              <w:rPr>
                <w:rFonts w:ascii="宋体" w:hAnsi="宋体" w:hint="eastAsia"/>
                <w:szCs w:val="21"/>
              </w:rPr>
              <w:t>06</w:t>
            </w:r>
            <w:r w:rsidRPr="006334EE">
              <w:rPr>
                <w:rFonts w:ascii="宋体" w:hAnsi="宋体"/>
                <w:szCs w:val="21"/>
              </w:rPr>
              <w:t>0</w:t>
            </w:r>
            <w:r w:rsidRPr="006334EE">
              <w:rPr>
                <w:rFonts w:ascii="宋体" w:hAnsi="宋体" w:hint="eastAsia"/>
                <w:szCs w:val="21"/>
              </w:rPr>
              <w:t>03）、宁南县（G</w:t>
            </w:r>
            <w:r w:rsidRPr="006334EE">
              <w:rPr>
                <w:rFonts w:ascii="宋体" w:hAnsi="宋体"/>
                <w:szCs w:val="21"/>
              </w:rPr>
              <w:t>4</w:t>
            </w:r>
            <w:r w:rsidRPr="006334EE">
              <w:rPr>
                <w:rFonts w:ascii="宋体" w:hAnsi="宋体" w:hint="eastAsia"/>
                <w:szCs w:val="21"/>
              </w:rPr>
              <w:t>8</w:t>
            </w:r>
            <w:r w:rsidRPr="006334EE">
              <w:rPr>
                <w:rFonts w:ascii="宋体" w:hAnsi="宋体"/>
                <w:szCs w:val="21"/>
              </w:rPr>
              <w:t>E0</w:t>
            </w:r>
            <w:r w:rsidRPr="006334EE">
              <w:rPr>
                <w:rFonts w:ascii="宋体" w:hAnsi="宋体" w:hint="eastAsia"/>
                <w:szCs w:val="21"/>
              </w:rPr>
              <w:t>06</w:t>
            </w:r>
            <w:r w:rsidRPr="006334EE">
              <w:rPr>
                <w:rFonts w:ascii="宋体" w:hAnsi="宋体"/>
                <w:szCs w:val="21"/>
              </w:rPr>
              <w:t>0</w:t>
            </w:r>
            <w:r w:rsidRPr="006334EE">
              <w:rPr>
                <w:rFonts w:ascii="宋体" w:hAnsi="宋体" w:hint="eastAsia"/>
                <w:szCs w:val="21"/>
              </w:rPr>
              <w:t>04）3个图幅。</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13</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太行山区</w:t>
            </w:r>
            <w:r w:rsidRPr="006334EE">
              <w:rPr>
                <w:rFonts w:ascii="宋体" w:hAnsi="宋体"/>
                <w:szCs w:val="21"/>
              </w:rPr>
              <w:t>1:5</w:t>
            </w:r>
            <w:r w:rsidRPr="006334EE">
              <w:rPr>
                <w:rFonts w:ascii="宋体" w:hAnsi="宋体" w:hint="eastAsia"/>
                <w:szCs w:val="21"/>
              </w:rPr>
              <w:t>万水文地质调查</w:t>
            </w:r>
            <w:r w:rsidRPr="006334EE">
              <w:rPr>
                <w:rFonts w:ascii="宋体" w:hAnsi="宋体"/>
                <w:szCs w:val="21"/>
              </w:rPr>
              <w:t>(</w:t>
            </w:r>
            <w:r w:rsidRPr="006334EE">
              <w:rPr>
                <w:rFonts w:ascii="宋体" w:hAnsi="宋体" w:hint="eastAsia"/>
                <w:szCs w:val="21"/>
              </w:rPr>
              <w:t>7幅</w:t>
            </w:r>
            <w:r w:rsidRPr="006334EE">
              <w:rPr>
                <w:rFonts w:ascii="宋体" w:hAnsi="宋体"/>
                <w:szCs w:val="21"/>
              </w:rPr>
              <w:t>)</w:t>
            </w:r>
          </w:p>
        </w:tc>
        <w:tc>
          <w:tcPr>
            <w:tcW w:w="250" w:type="pct"/>
            <w:vAlign w:val="center"/>
          </w:tcPr>
          <w:p w:rsidR="00DE3159" w:rsidRPr="006334EE" w:rsidRDefault="00DE3159" w:rsidP="00543F32">
            <w:pPr>
              <w:widowControl/>
              <w:jc w:val="center"/>
              <w:rPr>
                <w:rFonts w:ascii="宋体" w:hAnsi="宋体"/>
                <w:szCs w:val="21"/>
              </w:rPr>
            </w:pPr>
          </w:p>
        </w:tc>
        <w:tc>
          <w:tcPr>
            <w:tcW w:w="252" w:type="pct"/>
            <w:vAlign w:val="center"/>
          </w:tcPr>
          <w:p w:rsidR="00DE3159" w:rsidRPr="006334EE" w:rsidRDefault="00DE3159" w:rsidP="00543F32">
            <w:pPr>
              <w:widowControl/>
              <w:jc w:val="center"/>
              <w:rPr>
                <w:rFonts w:ascii="宋体" w:hAnsi="宋体"/>
                <w:szCs w:val="21"/>
              </w:rPr>
            </w:pPr>
          </w:p>
        </w:tc>
        <w:tc>
          <w:tcPr>
            <w:tcW w:w="2149" w:type="pct"/>
            <w:vAlign w:val="center"/>
          </w:tcPr>
          <w:p w:rsidR="00DE3159" w:rsidRPr="006334EE" w:rsidRDefault="00DE3159" w:rsidP="00543F32">
            <w:pPr>
              <w:spacing w:line="360" w:lineRule="auto"/>
              <w:contextualSpacing/>
              <w:mirrorIndents/>
              <w:jc w:val="center"/>
              <w:rPr>
                <w:rFonts w:ascii="宋体" w:hAnsi="宋体"/>
                <w:szCs w:val="21"/>
              </w:rPr>
            </w:pPr>
          </w:p>
        </w:tc>
        <w:tc>
          <w:tcPr>
            <w:tcW w:w="249" w:type="pct"/>
            <w:vMerge w:val="restart"/>
            <w:vAlign w:val="center"/>
          </w:tcPr>
          <w:p w:rsidR="00DE3159" w:rsidRPr="006334EE" w:rsidRDefault="00DE3159" w:rsidP="00543F32">
            <w:pPr>
              <w:jc w:val="center"/>
              <w:rPr>
                <w:rFonts w:ascii="宋体" w:hAnsi="宋体"/>
                <w:szCs w:val="21"/>
              </w:rPr>
            </w:pPr>
            <w:r>
              <w:rPr>
                <w:rFonts w:ascii="宋体" w:hAnsi="宋体" w:hint="eastAsia"/>
                <w:szCs w:val="21"/>
              </w:rPr>
              <w:t>水文地质调查</w:t>
            </w:r>
          </w:p>
        </w:tc>
        <w:tc>
          <w:tcPr>
            <w:tcW w:w="661" w:type="pct"/>
            <w:vMerge w:val="restart"/>
            <w:vAlign w:val="center"/>
          </w:tcPr>
          <w:p w:rsidR="00DE3159" w:rsidRPr="006334EE" w:rsidRDefault="00DE3159" w:rsidP="00543F32">
            <w:pPr>
              <w:widowControl/>
              <w:jc w:val="center"/>
              <w:rPr>
                <w:rFonts w:ascii="宋体" w:hAnsi="宋体"/>
                <w:szCs w:val="21"/>
              </w:rPr>
            </w:pPr>
            <w:r w:rsidRPr="00151806">
              <w:rPr>
                <w:rFonts w:ascii="宋体" w:hAnsi="宋体" w:hint="eastAsia"/>
                <w:szCs w:val="21"/>
              </w:rPr>
              <w:t>要求具备水文地质、工程地质、环境</w:t>
            </w:r>
            <w:r w:rsidRPr="00151806">
              <w:rPr>
                <w:rFonts w:ascii="宋体" w:hAnsi="宋体" w:cs="宋体" w:hint="eastAsia"/>
                <w:color w:val="333333"/>
                <w:kern w:val="0"/>
                <w:szCs w:val="21"/>
              </w:rPr>
              <w:t>地质调查</w:t>
            </w:r>
            <w:r w:rsidRPr="00151806">
              <w:rPr>
                <w:rFonts w:ascii="宋体" w:hAnsi="宋体" w:hint="eastAsia"/>
                <w:szCs w:val="21"/>
              </w:rPr>
              <w:t>乙级以上（含乙级）资质或</w:t>
            </w:r>
            <w:r w:rsidRPr="00756006">
              <w:rPr>
                <w:rFonts w:ascii="宋体" w:hAnsi="宋体" w:cs="宋体" w:hint="eastAsia"/>
                <w:color w:val="333333"/>
                <w:kern w:val="0"/>
                <w:szCs w:val="21"/>
              </w:rPr>
              <w:t>液体矿产勘查</w:t>
            </w:r>
            <w:r w:rsidRPr="00151806">
              <w:rPr>
                <w:rFonts w:ascii="宋体" w:hAnsi="宋体" w:hint="eastAsia"/>
                <w:szCs w:val="21"/>
              </w:rPr>
              <w:t>乙级以上（含乙级）资质</w:t>
            </w: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（1）</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太行山阜平县1:5万水文地质调查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在河北阜平县重点地区图幅1:5万</w:t>
            </w:r>
            <w:r w:rsidRPr="006334EE">
              <w:rPr>
                <w:rFonts w:ascii="宋体" w:hAnsi="宋体" w:cs="宋体" w:hint="eastAsia"/>
                <w:color w:val="000000"/>
                <w:kern w:val="0"/>
                <w:szCs w:val="21"/>
                <w:lang w:val="el-GR"/>
              </w:rPr>
              <w:t>水文地质调查</w:t>
            </w:r>
            <w:r w:rsidRPr="006334EE">
              <w:rPr>
                <w:rFonts w:ascii="宋体" w:hAnsi="宋体" w:hint="eastAsia"/>
                <w:szCs w:val="21"/>
              </w:rPr>
              <w:t>与一般地区1:5万水文地质专项调查相结合，查明水文地质条件和地下水资源状况，实施地下水勘查与供水示范，编制图幅1:5万水文地质图及说明书，编制县域地下水开发利用区划；开展专题研究，集成太行山区1:5万水文地质调查成果。</w:t>
            </w:r>
          </w:p>
        </w:tc>
        <w:tc>
          <w:tcPr>
            <w:tcW w:w="249" w:type="pct"/>
            <w:vMerge/>
            <w:vAlign w:val="center"/>
          </w:tcPr>
          <w:p w:rsidR="00DE3159" w:rsidRPr="006334EE" w:rsidRDefault="00DE3159" w:rsidP="00543F32">
            <w:pPr>
              <w:widowControl/>
              <w:jc w:val="center"/>
              <w:rPr>
                <w:rFonts w:ascii="宋体" w:hAnsi="宋体" w:hint="eastAsia"/>
                <w:szCs w:val="21"/>
              </w:rPr>
            </w:pPr>
          </w:p>
        </w:tc>
        <w:tc>
          <w:tcPr>
            <w:tcW w:w="661" w:type="pct"/>
            <w:vMerge/>
            <w:vAlign w:val="center"/>
          </w:tcPr>
          <w:p w:rsidR="00DE3159" w:rsidRPr="006334EE" w:rsidRDefault="00DE3159" w:rsidP="00543F32">
            <w:pPr>
              <w:widowControl/>
              <w:jc w:val="center"/>
              <w:rPr>
                <w:rFonts w:ascii="宋体" w:hAnsi="宋体" w:hint="eastAsia"/>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（2）</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太行山区河北省1:5万水文地质调查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lang w:val="el-GR"/>
              </w:rPr>
              <w:t>在河北</w:t>
            </w:r>
            <w:proofErr w:type="gramStart"/>
            <w:r w:rsidRPr="006334EE">
              <w:rPr>
                <w:rFonts w:ascii="宋体" w:hAnsi="宋体" w:hint="eastAsia"/>
                <w:szCs w:val="21"/>
                <w:lang w:val="el-GR"/>
              </w:rPr>
              <w:t>涞</w:t>
            </w:r>
            <w:proofErr w:type="gramEnd"/>
            <w:r w:rsidRPr="006334EE">
              <w:rPr>
                <w:rFonts w:ascii="宋体" w:hAnsi="宋体" w:hint="eastAsia"/>
                <w:szCs w:val="21"/>
                <w:lang w:val="el-GR"/>
              </w:rPr>
              <w:t>源泉</w:t>
            </w:r>
            <w:proofErr w:type="gramStart"/>
            <w:r w:rsidRPr="006334EE">
              <w:rPr>
                <w:rFonts w:ascii="宋体" w:hAnsi="宋体" w:hint="eastAsia"/>
                <w:szCs w:val="21"/>
                <w:lang w:val="el-GR"/>
              </w:rPr>
              <w:t>域开展</w:t>
            </w:r>
            <w:proofErr w:type="gramEnd"/>
            <w:r w:rsidRPr="006334EE">
              <w:rPr>
                <w:rFonts w:ascii="宋体" w:hAnsi="宋体" w:hint="eastAsia"/>
                <w:bCs/>
                <w:szCs w:val="21"/>
                <w:lang w:val="el-GR"/>
              </w:rPr>
              <w:t>团圆幅（</w:t>
            </w:r>
            <w:r w:rsidRPr="006334EE">
              <w:rPr>
                <w:rFonts w:ascii="宋体" w:hAnsi="宋体" w:hint="eastAsia"/>
                <w:szCs w:val="21"/>
                <w:lang w:val="el-GR"/>
              </w:rPr>
              <w:t>J50E003003</w:t>
            </w:r>
            <w:r w:rsidRPr="006334EE">
              <w:rPr>
                <w:rFonts w:ascii="宋体" w:hAnsi="宋体" w:hint="eastAsia"/>
                <w:bCs/>
                <w:szCs w:val="21"/>
                <w:lang w:val="el-GR"/>
              </w:rPr>
              <w:t>）、东团堡幅（</w:t>
            </w:r>
            <w:r w:rsidRPr="006334EE">
              <w:rPr>
                <w:rFonts w:ascii="宋体" w:hAnsi="宋体" w:hint="eastAsia"/>
                <w:szCs w:val="21"/>
                <w:lang w:val="el-GR"/>
              </w:rPr>
              <w:t>J50E003004</w:t>
            </w:r>
            <w:r w:rsidRPr="006334EE">
              <w:rPr>
                <w:rFonts w:ascii="宋体" w:hAnsi="宋体" w:hint="eastAsia"/>
                <w:bCs/>
                <w:szCs w:val="21"/>
                <w:lang w:val="el-GR"/>
              </w:rPr>
              <w:t>）、涞源县幅（</w:t>
            </w:r>
            <w:r w:rsidRPr="006334EE">
              <w:rPr>
                <w:rFonts w:ascii="宋体" w:hAnsi="宋体" w:hint="eastAsia"/>
                <w:szCs w:val="21"/>
                <w:lang w:val="el-GR"/>
              </w:rPr>
              <w:t>J50E004003</w:t>
            </w:r>
            <w:r w:rsidRPr="006334EE">
              <w:rPr>
                <w:rFonts w:ascii="宋体" w:hAnsi="宋体" w:hint="eastAsia"/>
                <w:bCs/>
                <w:szCs w:val="21"/>
                <w:lang w:val="el-GR"/>
              </w:rPr>
              <w:t>）、王安镇幅（</w:t>
            </w:r>
            <w:r w:rsidRPr="006334EE">
              <w:rPr>
                <w:rFonts w:ascii="宋体" w:hAnsi="宋体" w:hint="eastAsia"/>
                <w:szCs w:val="21"/>
                <w:lang w:val="el-GR"/>
              </w:rPr>
              <w:t>J50E004004</w:t>
            </w:r>
            <w:r w:rsidRPr="006334EE">
              <w:rPr>
                <w:rFonts w:ascii="宋体" w:hAnsi="宋体" w:hint="eastAsia"/>
                <w:bCs/>
                <w:szCs w:val="21"/>
                <w:lang w:val="el-GR"/>
              </w:rPr>
              <w:t>）</w:t>
            </w:r>
            <w:r w:rsidRPr="006334EE">
              <w:rPr>
                <w:rFonts w:ascii="宋体" w:hAnsi="宋体" w:hint="eastAsia"/>
                <w:szCs w:val="21"/>
                <w:lang w:val="el-GR"/>
              </w:rPr>
              <w:t>1:5万水文地质调查，查明基础水文地质条件和地下水资源状况，编制图幅1:5万水文地质图及说明书</w:t>
            </w:r>
            <w:bookmarkStart w:id="0" w:name="OLE_LINK1"/>
            <w:bookmarkStart w:id="1" w:name="OLE_LINK2"/>
            <w:r w:rsidRPr="006334EE">
              <w:rPr>
                <w:rFonts w:ascii="宋体" w:hAnsi="宋体" w:hint="eastAsia"/>
                <w:szCs w:val="21"/>
                <w:lang w:val="el-GR"/>
              </w:rPr>
              <w:t>、1:5万区域水文地质调查评价报告，</w:t>
            </w:r>
            <w:bookmarkEnd w:id="0"/>
            <w:bookmarkEnd w:id="1"/>
            <w:r w:rsidRPr="006334EE">
              <w:rPr>
                <w:rFonts w:ascii="宋体" w:hAnsi="宋体" w:hint="eastAsia"/>
                <w:szCs w:val="21"/>
                <w:lang w:val="el-GR"/>
              </w:rPr>
              <w:t>建设1:5万水文地质图空间数据库和调查成果信息系统。</w:t>
            </w:r>
          </w:p>
        </w:tc>
        <w:tc>
          <w:tcPr>
            <w:tcW w:w="249" w:type="pct"/>
            <w:vMerge/>
            <w:vAlign w:val="center"/>
          </w:tcPr>
          <w:p w:rsidR="00DE3159" w:rsidRPr="006334EE" w:rsidRDefault="00DE3159" w:rsidP="00543F32">
            <w:pPr>
              <w:widowControl/>
              <w:jc w:val="center"/>
              <w:rPr>
                <w:rFonts w:ascii="宋体" w:hAnsi="宋体" w:hint="eastAsia"/>
                <w:szCs w:val="21"/>
                <w:lang w:val="el-GR"/>
              </w:rPr>
            </w:pPr>
          </w:p>
        </w:tc>
        <w:tc>
          <w:tcPr>
            <w:tcW w:w="661" w:type="pct"/>
            <w:vMerge/>
            <w:vAlign w:val="center"/>
          </w:tcPr>
          <w:p w:rsidR="00DE3159" w:rsidRPr="006334EE" w:rsidRDefault="00DE3159" w:rsidP="00543F32">
            <w:pPr>
              <w:widowControl/>
              <w:jc w:val="center"/>
              <w:rPr>
                <w:rFonts w:ascii="宋体" w:hAnsi="宋体" w:hint="eastAsia"/>
                <w:szCs w:val="21"/>
                <w:lang w:val="el-GR"/>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t>（3）</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太行山区河南省1:5万水文地质调查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lang w:val="el-GR"/>
              </w:rPr>
              <w:t>在河南</w:t>
            </w:r>
            <w:r w:rsidRPr="006334EE">
              <w:rPr>
                <w:rFonts w:ascii="宋体" w:hAnsi="宋体" w:hint="eastAsia"/>
                <w:bCs/>
                <w:szCs w:val="21"/>
                <w:lang w:val="el-GR"/>
              </w:rPr>
              <w:t>嵩县开展田湖幅（I49E011017）、</w:t>
            </w:r>
            <w:proofErr w:type="gramStart"/>
            <w:r w:rsidRPr="006334EE">
              <w:rPr>
                <w:rFonts w:ascii="宋体" w:hAnsi="宋体" w:hint="eastAsia"/>
                <w:bCs/>
                <w:szCs w:val="21"/>
                <w:lang w:val="el-GR"/>
              </w:rPr>
              <w:t>木柴关幅</w:t>
            </w:r>
            <w:proofErr w:type="gramEnd"/>
            <w:r w:rsidRPr="006334EE">
              <w:rPr>
                <w:rFonts w:ascii="宋体" w:hAnsi="宋体" w:hint="eastAsia"/>
                <w:bCs/>
                <w:szCs w:val="21"/>
                <w:lang w:val="el-GR"/>
              </w:rPr>
              <w:t>（I49E011016 ）</w:t>
            </w:r>
            <w:r w:rsidRPr="006334EE">
              <w:rPr>
                <w:rFonts w:ascii="宋体" w:hAnsi="宋体" w:hint="eastAsia"/>
                <w:szCs w:val="21"/>
                <w:lang w:val="el-GR"/>
              </w:rPr>
              <w:t>1:5万水文地质调查，查明基础水文地质条件和地下水资源状况，编制图幅1:5万水文地质图及说明书、1:5万区域水文地质调查评价报告，建设1:5万水文地质图空间数据库和调查成果信息系统。</w:t>
            </w:r>
          </w:p>
        </w:tc>
        <w:tc>
          <w:tcPr>
            <w:tcW w:w="249" w:type="pct"/>
            <w:vMerge/>
            <w:vAlign w:val="center"/>
          </w:tcPr>
          <w:p w:rsidR="00DE3159" w:rsidRPr="006334EE" w:rsidRDefault="00DE3159" w:rsidP="00543F32">
            <w:pPr>
              <w:widowControl/>
              <w:jc w:val="center"/>
              <w:rPr>
                <w:rFonts w:ascii="宋体" w:hAnsi="宋体" w:hint="eastAsia"/>
                <w:szCs w:val="21"/>
                <w:lang w:val="el-GR"/>
              </w:rPr>
            </w:pPr>
          </w:p>
        </w:tc>
        <w:tc>
          <w:tcPr>
            <w:tcW w:w="661" w:type="pct"/>
            <w:vMerge/>
            <w:vAlign w:val="center"/>
          </w:tcPr>
          <w:p w:rsidR="00DE3159" w:rsidRPr="006334EE" w:rsidRDefault="00DE3159" w:rsidP="00543F32">
            <w:pPr>
              <w:widowControl/>
              <w:jc w:val="center"/>
              <w:rPr>
                <w:rFonts w:ascii="宋体" w:hAnsi="宋体" w:hint="eastAsia"/>
                <w:szCs w:val="21"/>
                <w:lang w:val="el-GR"/>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szCs w:val="21"/>
              </w:rPr>
            </w:pPr>
            <w:r w:rsidRPr="006334EE">
              <w:rPr>
                <w:rFonts w:ascii="宋体" w:hAnsi="宋体" w:hint="eastAsia"/>
                <w:szCs w:val="21"/>
              </w:rPr>
              <w:lastRenderedPageBreak/>
              <w:t>14</w:t>
            </w:r>
          </w:p>
        </w:tc>
        <w:tc>
          <w:tcPr>
            <w:tcW w:w="1200" w:type="pct"/>
            <w:vAlign w:val="center"/>
          </w:tcPr>
          <w:p w:rsidR="00DE3159" w:rsidRPr="006334EE" w:rsidRDefault="00DE3159" w:rsidP="00543F32">
            <w:pPr>
              <w:widowControl/>
              <w:jc w:val="left"/>
              <w:rPr>
                <w:rFonts w:ascii="宋体" w:hAnsi="宋体"/>
                <w:szCs w:val="21"/>
              </w:rPr>
            </w:pPr>
            <w:r w:rsidRPr="006334EE">
              <w:rPr>
                <w:rFonts w:ascii="宋体" w:hAnsi="宋体" w:hint="eastAsia"/>
                <w:szCs w:val="21"/>
              </w:rPr>
              <w:t>沂蒙山区</w:t>
            </w:r>
            <w:r w:rsidRPr="006334EE">
              <w:rPr>
                <w:rFonts w:ascii="宋体" w:hAnsi="宋体"/>
                <w:szCs w:val="21"/>
              </w:rPr>
              <w:t>1:5</w:t>
            </w:r>
            <w:r w:rsidRPr="006334EE">
              <w:rPr>
                <w:rFonts w:ascii="宋体" w:hAnsi="宋体" w:hint="eastAsia"/>
                <w:szCs w:val="21"/>
              </w:rPr>
              <w:t>万水文地质调查</w:t>
            </w:r>
            <w:r w:rsidRPr="006334EE">
              <w:rPr>
                <w:rFonts w:ascii="宋体" w:hAnsi="宋体"/>
                <w:szCs w:val="21"/>
              </w:rPr>
              <w:t>(6</w:t>
            </w:r>
            <w:r w:rsidRPr="006334EE">
              <w:rPr>
                <w:rFonts w:ascii="宋体" w:hAnsi="宋体" w:hint="eastAsia"/>
                <w:szCs w:val="21"/>
              </w:rPr>
              <w:t>幅</w:t>
            </w:r>
            <w:r w:rsidRPr="006334EE">
              <w:rPr>
                <w:rFonts w:ascii="宋体" w:hAnsi="宋体"/>
                <w:szCs w:val="21"/>
              </w:rPr>
              <w:t>)</w:t>
            </w:r>
          </w:p>
        </w:tc>
        <w:tc>
          <w:tcPr>
            <w:tcW w:w="250" w:type="pct"/>
            <w:vAlign w:val="center"/>
          </w:tcPr>
          <w:p w:rsidR="00DE3159" w:rsidRPr="006334EE" w:rsidRDefault="00DE3159" w:rsidP="00543F32">
            <w:pPr>
              <w:widowControl/>
              <w:jc w:val="center"/>
              <w:rPr>
                <w:rFonts w:ascii="宋体" w:hAnsi="宋体"/>
                <w:szCs w:val="21"/>
              </w:rPr>
            </w:pPr>
          </w:p>
        </w:tc>
        <w:tc>
          <w:tcPr>
            <w:tcW w:w="252" w:type="pct"/>
            <w:vAlign w:val="center"/>
          </w:tcPr>
          <w:p w:rsidR="00DE3159" w:rsidRPr="006334EE" w:rsidRDefault="00DE3159" w:rsidP="00543F32">
            <w:pPr>
              <w:widowControl/>
              <w:jc w:val="center"/>
              <w:rPr>
                <w:rFonts w:ascii="宋体" w:hAnsi="宋体"/>
                <w:szCs w:val="21"/>
              </w:rPr>
            </w:pPr>
          </w:p>
        </w:tc>
        <w:tc>
          <w:tcPr>
            <w:tcW w:w="2149" w:type="pct"/>
            <w:vAlign w:val="center"/>
          </w:tcPr>
          <w:p w:rsidR="00DE3159" w:rsidRPr="006334EE" w:rsidRDefault="00DE3159" w:rsidP="00543F32">
            <w:pPr>
              <w:spacing w:line="360" w:lineRule="auto"/>
              <w:contextualSpacing/>
              <w:mirrorIndents/>
              <w:jc w:val="center"/>
              <w:rPr>
                <w:rFonts w:ascii="宋体" w:hAnsi="宋体"/>
                <w:szCs w:val="21"/>
              </w:rPr>
            </w:pPr>
          </w:p>
        </w:tc>
        <w:tc>
          <w:tcPr>
            <w:tcW w:w="249" w:type="pct"/>
            <w:vMerge/>
            <w:vAlign w:val="center"/>
          </w:tcPr>
          <w:p w:rsidR="00DE3159" w:rsidRPr="006334EE" w:rsidRDefault="00DE3159" w:rsidP="00543F32">
            <w:pPr>
              <w:spacing w:line="360" w:lineRule="auto"/>
              <w:contextualSpacing/>
              <w:mirrorIndents/>
              <w:jc w:val="center"/>
              <w:rPr>
                <w:rFonts w:ascii="宋体" w:hAnsi="宋体"/>
                <w:szCs w:val="21"/>
              </w:rPr>
            </w:pPr>
          </w:p>
        </w:tc>
        <w:tc>
          <w:tcPr>
            <w:tcW w:w="661" w:type="pct"/>
            <w:vMerge/>
            <w:vAlign w:val="center"/>
          </w:tcPr>
          <w:p w:rsidR="00DE3159" w:rsidRPr="006334EE" w:rsidRDefault="00DE3159" w:rsidP="00543F32">
            <w:pPr>
              <w:spacing w:line="360" w:lineRule="auto"/>
              <w:contextualSpacing/>
              <w:mirrorIndents/>
              <w:jc w:val="center"/>
              <w:rPr>
                <w:rFonts w:ascii="宋体" w:hAnsi="宋体"/>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hint="eastAsia"/>
                <w:szCs w:val="21"/>
              </w:rPr>
            </w:pPr>
            <w:r w:rsidRPr="006334EE">
              <w:rPr>
                <w:rFonts w:ascii="宋体" w:hAnsi="宋体" w:hint="eastAsia"/>
                <w:szCs w:val="21"/>
              </w:rPr>
              <w:t>（1）</w:t>
            </w:r>
          </w:p>
        </w:tc>
        <w:tc>
          <w:tcPr>
            <w:tcW w:w="1200" w:type="pct"/>
            <w:vAlign w:val="center"/>
          </w:tcPr>
          <w:p w:rsidR="00DE3159" w:rsidRPr="006334EE" w:rsidRDefault="00DE3159" w:rsidP="00543F32">
            <w:pPr>
              <w:widowControl/>
              <w:jc w:val="left"/>
              <w:rPr>
                <w:rFonts w:ascii="宋体" w:hAnsi="宋体" w:hint="eastAsia"/>
                <w:szCs w:val="21"/>
              </w:rPr>
            </w:pPr>
            <w:proofErr w:type="gramStart"/>
            <w:r w:rsidRPr="006334EE">
              <w:rPr>
                <w:rFonts w:ascii="宋体" w:hAnsi="宋体" w:hint="eastAsia"/>
                <w:szCs w:val="21"/>
              </w:rPr>
              <w:t>沂蒙山方城镇</w:t>
            </w:r>
            <w:proofErr w:type="gramEnd"/>
            <w:r w:rsidRPr="006334EE">
              <w:rPr>
                <w:rFonts w:ascii="宋体" w:hAnsi="宋体" w:hint="eastAsia"/>
                <w:szCs w:val="21"/>
              </w:rPr>
              <w:t>幅、大朱保幅、</w:t>
            </w:r>
            <w:proofErr w:type="gramStart"/>
            <w:r w:rsidRPr="006334EE">
              <w:rPr>
                <w:rFonts w:ascii="宋体" w:hAnsi="宋体" w:hint="eastAsia"/>
                <w:szCs w:val="21"/>
              </w:rPr>
              <w:t>苍山县幅</w:t>
            </w:r>
            <w:proofErr w:type="gramEnd"/>
            <w:r w:rsidRPr="006334EE">
              <w:rPr>
                <w:rFonts w:ascii="宋体" w:hAnsi="宋体" w:hint="eastAsia"/>
                <w:szCs w:val="21"/>
              </w:rPr>
              <w:t>1:5万水文地质调查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bCs/>
                <w:szCs w:val="21"/>
              </w:rPr>
              <w:t>开展山东方城镇幅（</w:t>
            </w:r>
            <w:r w:rsidRPr="006334EE">
              <w:rPr>
                <w:rFonts w:ascii="宋体" w:hAnsi="宋体" w:hint="eastAsia"/>
                <w:szCs w:val="21"/>
              </w:rPr>
              <w:t>I50E005017</w:t>
            </w:r>
            <w:r w:rsidRPr="006334EE">
              <w:rPr>
                <w:rFonts w:ascii="宋体" w:hAnsi="宋体" w:hint="eastAsia"/>
                <w:bCs/>
                <w:szCs w:val="21"/>
              </w:rPr>
              <w:t>）、大朱保幅（</w:t>
            </w:r>
            <w:r w:rsidRPr="006334EE">
              <w:rPr>
                <w:rFonts w:ascii="宋体" w:hAnsi="宋体" w:hint="eastAsia"/>
                <w:szCs w:val="21"/>
              </w:rPr>
              <w:t>I50E006017</w:t>
            </w:r>
            <w:r w:rsidRPr="006334EE">
              <w:rPr>
                <w:rFonts w:ascii="宋体" w:hAnsi="宋体" w:hint="eastAsia"/>
                <w:bCs/>
                <w:szCs w:val="21"/>
              </w:rPr>
              <w:t>）、苍山县幅（</w:t>
            </w:r>
            <w:r w:rsidRPr="006334EE">
              <w:rPr>
                <w:rFonts w:ascii="宋体" w:hAnsi="宋体" w:hint="eastAsia"/>
                <w:szCs w:val="21"/>
              </w:rPr>
              <w:t>I50E007107</w:t>
            </w:r>
            <w:r w:rsidRPr="006334EE">
              <w:rPr>
                <w:rFonts w:ascii="宋体" w:hAnsi="宋体" w:hint="eastAsia"/>
                <w:bCs/>
                <w:szCs w:val="21"/>
              </w:rPr>
              <w:t>）</w:t>
            </w:r>
            <w:r w:rsidRPr="006334EE">
              <w:rPr>
                <w:rFonts w:ascii="宋体" w:hAnsi="宋体" w:hint="eastAsia"/>
                <w:szCs w:val="21"/>
              </w:rPr>
              <w:t>1:5</w:t>
            </w:r>
            <w:r w:rsidRPr="006334EE">
              <w:rPr>
                <w:rFonts w:ascii="宋体" w:hAnsi="宋体" w:hint="eastAsia"/>
                <w:bCs/>
                <w:szCs w:val="21"/>
              </w:rPr>
              <w:t>万水文地质调查，</w:t>
            </w:r>
            <w:r w:rsidRPr="006334EE">
              <w:rPr>
                <w:rFonts w:ascii="宋体" w:hAnsi="宋体" w:hint="eastAsia"/>
                <w:szCs w:val="21"/>
                <w:lang w:val="el-GR"/>
              </w:rPr>
              <w:t>查明基础水文地质条件和地下水资源状况，编制图幅1:5万水文地质图及说明书、1:5万区域水文地质调查评价报告，建设1:5万水文地质图空间数据库和调查成果信息系统。</w:t>
            </w:r>
          </w:p>
        </w:tc>
        <w:tc>
          <w:tcPr>
            <w:tcW w:w="249" w:type="pct"/>
            <w:vMerge/>
            <w:vAlign w:val="center"/>
          </w:tcPr>
          <w:p w:rsidR="00DE3159" w:rsidRPr="006334EE" w:rsidRDefault="00DE3159" w:rsidP="00543F32">
            <w:pPr>
              <w:widowControl/>
              <w:jc w:val="center"/>
              <w:rPr>
                <w:rFonts w:ascii="宋体" w:hAnsi="宋体" w:hint="eastAsia"/>
                <w:bCs/>
                <w:szCs w:val="21"/>
              </w:rPr>
            </w:pPr>
          </w:p>
        </w:tc>
        <w:tc>
          <w:tcPr>
            <w:tcW w:w="661" w:type="pct"/>
            <w:vMerge/>
            <w:vAlign w:val="center"/>
          </w:tcPr>
          <w:p w:rsidR="00DE3159" w:rsidRPr="006334EE" w:rsidRDefault="00DE3159" w:rsidP="00543F32">
            <w:pPr>
              <w:widowControl/>
              <w:jc w:val="center"/>
              <w:rPr>
                <w:rFonts w:ascii="宋体" w:hAnsi="宋体" w:hint="eastAsia"/>
                <w:bCs/>
                <w:szCs w:val="21"/>
              </w:rPr>
            </w:pPr>
          </w:p>
        </w:tc>
      </w:tr>
      <w:tr w:rsidR="00DE3159" w:rsidRPr="006334EE" w:rsidTr="00543F32">
        <w:trPr>
          <w:trHeight w:val="340"/>
        </w:trPr>
        <w:tc>
          <w:tcPr>
            <w:tcW w:w="238" w:type="pct"/>
            <w:vAlign w:val="center"/>
          </w:tcPr>
          <w:p w:rsidR="00DE3159" w:rsidRPr="006334EE" w:rsidRDefault="00DE3159" w:rsidP="00543F32">
            <w:pPr>
              <w:spacing w:line="360" w:lineRule="auto"/>
              <w:contextualSpacing/>
              <w:mirrorIndents/>
              <w:jc w:val="center"/>
              <w:rPr>
                <w:rFonts w:ascii="宋体" w:hAnsi="宋体" w:hint="eastAsia"/>
                <w:szCs w:val="21"/>
              </w:rPr>
            </w:pPr>
            <w:r w:rsidRPr="006334EE">
              <w:rPr>
                <w:rFonts w:ascii="宋体" w:hAnsi="宋体" w:hint="eastAsia"/>
                <w:szCs w:val="21"/>
              </w:rPr>
              <w:t>（2）</w:t>
            </w:r>
          </w:p>
        </w:tc>
        <w:tc>
          <w:tcPr>
            <w:tcW w:w="1200" w:type="pct"/>
            <w:vAlign w:val="center"/>
          </w:tcPr>
          <w:p w:rsidR="00DE3159" w:rsidRPr="006334EE" w:rsidRDefault="00DE3159" w:rsidP="00543F32">
            <w:pPr>
              <w:widowControl/>
              <w:jc w:val="left"/>
              <w:rPr>
                <w:rFonts w:ascii="宋体" w:hAnsi="宋体" w:hint="eastAsia"/>
                <w:szCs w:val="21"/>
              </w:rPr>
            </w:pPr>
            <w:r w:rsidRPr="006334EE">
              <w:rPr>
                <w:rFonts w:ascii="宋体" w:hAnsi="宋体" w:hint="eastAsia"/>
                <w:szCs w:val="21"/>
              </w:rPr>
              <w:t>沂蒙山半程乡幅、临沂幅、李庄镇幅1:5万水文地质调查</w:t>
            </w:r>
          </w:p>
        </w:tc>
        <w:tc>
          <w:tcPr>
            <w:tcW w:w="250"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2014</w:t>
            </w:r>
          </w:p>
        </w:tc>
        <w:tc>
          <w:tcPr>
            <w:tcW w:w="252" w:type="pct"/>
            <w:vAlign w:val="center"/>
          </w:tcPr>
          <w:p w:rsidR="00DE3159" w:rsidRPr="006334EE" w:rsidRDefault="00DE3159" w:rsidP="00543F32">
            <w:pPr>
              <w:widowControl/>
              <w:jc w:val="center"/>
              <w:rPr>
                <w:rFonts w:ascii="宋体" w:hAnsi="宋体"/>
                <w:szCs w:val="21"/>
              </w:rPr>
            </w:pPr>
            <w:r w:rsidRPr="006334EE">
              <w:rPr>
                <w:rFonts w:ascii="宋体" w:hAnsi="宋体" w:hint="eastAsia"/>
                <w:szCs w:val="21"/>
              </w:rPr>
              <w:t>2015</w:t>
            </w:r>
          </w:p>
        </w:tc>
        <w:tc>
          <w:tcPr>
            <w:tcW w:w="2149" w:type="pct"/>
            <w:vAlign w:val="center"/>
          </w:tcPr>
          <w:p w:rsidR="00DE3159" w:rsidRPr="006334EE" w:rsidRDefault="00DE3159" w:rsidP="00543F32">
            <w:pPr>
              <w:widowControl/>
              <w:jc w:val="left"/>
              <w:rPr>
                <w:rFonts w:ascii="宋体" w:hAnsi="宋体"/>
                <w:szCs w:val="21"/>
              </w:rPr>
            </w:pPr>
            <w:r w:rsidRPr="006334EE">
              <w:rPr>
                <w:rFonts w:ascii="宋体" w:hAnsi="宋体" w:hint="eastAsia"/>
                <w:bCs/>
                <w:szCs w:val="21"/>
              </w:rPr>
              <w:t>开展山东半程乡幅（I50E005018）、临沂幅（I50E006018）、苍山县幅（I50E007107）1</w:t>
            </w:r>
            <w:r w:rsidRPr="006334EE">
              <w:rPr>
                <w:rFonts w:ascii="宋体" w:hAnsi="宋体" w:hint="eastAsia"/>
                <w:szCs w:val="21"/>
              </w:rPr>
              <w:t>:5</w:t>
            </w:r>
            <w:r w:rsidRPr="006334EE">
              <w:rPr>
                <w:rFonts w:ascii="宋体" w:hAnsi="宋体" w:hint="eastAsia"/>
                <w:bCs/>
                <w:szCs w:val="21"/>
              </w:rPr>
              <w:t>万水文地质调查，</w:t>
            </w:r>
            <w:r w:rsidRPr="006334EE">
              <w:rPr>
                <w:rFonts w:ascii="宋体" w:hAnsi="宋体" w:hint="eastAsia"/>
                <w:szCs w:val="21"/>
                <w:lang w:val="el-GR"/>
              </w:rPr>
              <w:t>查明基础水文地质条件和地下水资源状况，编制图幅1:5万水文地质图及说明书、1:5万区域水文地质调查评价报告，建设1:5万水文地质图空间数据库和调查成果信息系统。</w:t>
            </w:r>
          </w:p>
        </w:tc>
        <w:tc>
          <w:tcPr>
            <w:tcW w:w="249" w:type="pct"/>
            <w:vMerge/>
            <w:vAlign w:val="center"/>
          </w:tcPr>
          <w:p w:rsidR="00DE3159" w:rsidRPr="006334EE" w:rsidRDefault="00DE3159" w:rsidP="00543F32">
            <w:pPr>
              <w:widowControl/>
              <w:jc w:val="center"/>
              <w:rPr>
                <w:rFonts w:ascii="宋体" w:hAnsi="宋体" w:hint="eastAsia"/>
                <w:bCs/>
                <w:szCs w:val="21"/>
              </w:rPr>
            </w:pPr>
          </w:p>
        </w:tc>
        <w:tc>
          <w:tcPr>
            <w:tcW w:w="661" w:type="pct"/>
            <w:vMerge/>
            <w:vAlign w:val="center"/>
          </w:tcPr>
          <w:p w:rsidR="00DE3159" w:rsidRPr="006334EE" w:rsidRDefault="00DE3159" w:rsidP="00543F32">
            <w:pPr>
              <w:widowControl/>
              <w:jc w:val="center"/>
              <w:rPr>
                <w:rFonts w:ascii="宋体" w:hAnsi="宋体" w:hint="eastAsia"/>
                <w:bCs/>
                <w:szCs w:val="21"/>
              </w:rPr>
            </w:pPr>
          </w:p>
        </w:tc>
      </w:tr>
    </w:tbl>
    <w:p w:rsidR="006B2B02" w:rsidRPr="00DE3159" w:rsidRDefault="006B2B02"/>
    <w:sectPr w:rsidR="006B2B02" w:rsidRPr="00DE3159" w:rsidSect="00DE315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3159"/>
    <w:rsid w:val="006B2B02"/>
    <w:rsid w:val="00DE3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2668</Characters>
  <Application>Microsoft Office Word</Application>
  <DocSecurity>0</DocSecurity>
  <Lines>22</Lines>
  <Paragraphs>6</Paragraphs>
  <ScaleCrop>false</ScaleCrop>
  <Company>Lenovo</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2014-03-24T07:38:00Z</dcterms:created>
  <dcterms:modified xsi:type="dcterms:W3CDTF">2014-03-24T07:39:00Z</dcterms:modified>
</cp:coreProperties>
</file>