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BC8F6">
      <w:pPr>
        <w:keepNext w:val="0"/>
        <w:keepLines w:val="0"/>
        <w:pageBreakBefore w:val="0"/>
        <w:widowControl/>
        <w:shd w:val="clear" w:color="auto" w:fill="FFFFFF"/>
        <w:kinsoku/>
        <w:wordWrap/>
        <w:overflowPunct/>
        <w:topLinePunct w:val="0"/>
        <w:autoSpaceDE/>
        <w:autoSpaceDN/>
        <w:bidi w:val="0"/>
        <w:adjustRightInd w:val="0"/>
        <w:snapToGrid w:val="0"/>
        <w:spacing w:after="157" w:afterLines="50" w:line="600" w:lineRule="exact"/>
        <w:jc w:val="center"/>
        <w:textAlignment w:val="auto"/>
        <w:rPr>
          <w:rFonts w:hint="eastAsia" w:ascii="方正小标宋简体" w:hAnsi="方正小标宋简体" w:eastAsia="方正小标宋简体" w:cs="方正小标宋简体"/>
          <w:color w:val="000000"/>
          <w:kern w:val="32"/>
          <w:sz w:val="36"/>
          <w:szCs w:val="36"/>
          <w:lang w:val="en-US" w:eastAsia="zh-CN"/>
        </w:rPr>
      </w:pPr>
    </w:p>
    <w:p w14:paraId="6E60CB55">
      <w:pPr>
        <w:keepNext w:val="0"/>
        <w:keepLines w:val="0"/>
        <w:pageBreakBefore w:val="0"/>
        <w:widowControl/>
        <w:shd w:val="clear" w:color="auto" w:fill="FFFFFF"/>
        <w:kinsoku/>
        <w:wordWrap/>
        <w:overflowPunct/>
        <w:topLinePunct w:val="0"/>
        <w:autoSpaceDE/>
        <w:autoSpaceDN/>
        <w:bidi w:val="0"/>
        <w:adjustRightInd w:val="0"/>
        <w:snapToGrid w:val="0"/>
        <w:spacing w:after="157" w:afterLines="50" w:line="600" w:lineRule="exact"/>
        <w:jc w:val="center"/>
        <w:textAlignment w:val="auto"/>
        <w:rPr>
          <w:rFonts w:hint="eastAsia" w:ascii="方正小标宋简体" w:hAnsi="方正小标宋简体" w:eastAsia="方正小标宋简体" w:cs="方正小标宋简体"/>
          <w:sz w:val="36"/>
          <w:szCs w:val="36"/>
        </w:rPr>
      </w:pPr>
      <w:bookmarkStart w:id="0" w:name="_GoBack"/>
      <w:r>
        <w:rPr>
          <w:sz w:val="36"/>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-628015</wp:posOffset>
                </wp:positionV>
                <wp:extent cx="838200" cy="516255"/>
                <wp:effectExtent l="0" t="0" r="0" b="4445"/>
                <wp:wrapNone/>
                <wp:docPr id="7" name="文本框 7"/>
                <wp:cNvGraphicFramePr/>
                <a:graphic xmlns:a="http://schemas.openxmlformats.org/drawingml/2006/main">
                  <a:graphicData uri="http://schemas.microsoft.com/office/word/2010/wordprocessingShape">
                    <wps:wsp>
                      <wps:cNvSpPr txBox="1"/>
                      <wps:spPr>
                        <a:xfrm>
                          <a:off x="650240" y="739775"/>
                          <a:ext cx="83820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CB6DCC0">
                            <w:pPr>
                              <w:rPr>
                                <w:rFonts w:hint="default" w:eastAsia="仿宋_GB2312"/>
                                <w:lang w:val="en-US" w:eastAsia="zh-CN"/>
                              </w:rPr>
                            </w:pPr>
                            <w:r>
                              <w:rPr>
                                <w:rFonts w:hint="eastAsia"/>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45pt;height:40.65pt;width:66pt;z-index:251659264;mso-width-relative:page;mso-height-relative:page;" fillcolor="#FFFFFF [3201]" filled="t" stroked="f" coordsize="21600,21600" o:gfxdata="UEsDBAoAAAAAAIdO4kAAAAAAAAAAAAAAAAAEAAAAZHJzL1BLAwQUAAAACACHTuJAxVt8OdYAAAAK&#10;AQAADwAAAGRycy9kb3ducmV2LnhtbE2PzU7DMBCE70i8g7VI3FonqLRpGqcHJK5ItKVnN17iqPY6&#10;st3fp2c5wW13djT7TbO+eifOGNMQSEE5LUAgdcEM1CvYbd8nFYiUNRntAqGCGyZYt48Pja5NuNAn&#10;nje5FxxCqdYKbM5jLWXqLHqdpmFE4tt3iF5nXmMvTdQXDvdOvhTFXHo9EH+wesQ3i91xc/IK9r2/&#10;77/KMVrj3Yw+7rftLgxKPT+VxQpExmv+M8MvPqNDy0yHcCKThFMwmb1yl8zDslqCYEe1YOHAQrmY&#10;g2wb+b9C+wNQSwMEFAAAAAgAh07iQMWIpohaAgAAmAQAAA4AAABkcnMvZTJvRG9jLnhtbK1UQW7b&#10;MBC8F+gfCN4b2U4cO0bkwE3gokDQBEiLnmmKsgRQXJakLaUPaH+QUy+99115R4eUnaRpDznUB3nJ&#10;Xc3uzO7q9KxrNNsq52syOR8eDDhTRlJRm3XOP31cvply5oMwhdBkVM5vledn89evTls7UyOqSBfK&#10;MYAYP2ttzqsQ7CzLvKxUI/wBWWXgLMk1IuDo1lnhRAv0RmejweA4a8kV1pFU3uP2onfyHaJ7CSCV&#10;ZS3VBclNo0zoUZ3SIoCSr2rr+TxVW5ZKhquy9CownXMwDemJJLBX8ZnNT8Vs7YStarkrQbykhGec&#10;GlEbJH2AuhBBsI2r/4JqaunIUxkOJDVZTyQpAhbDwTNtbiphVeICqb19EN3/P1j5YXvtWF3kfMKZ&#10;EQ0afn/3/f7Hr/uf39gkytNaP0PUjUVc6N5Sh6HZ33tcRtZd6Zr4Dz4M/uPxYHQEhW+BengymYx7&#10;mVUXmIR7ejjFIHAm4R8Pj0fj5M8eYazz4Z2ihkUj5w5dTOKK7aUPKAmh+5CY1ZOui2WtdTq49epc&#10;O7YV6Pgy/WJ2vPJHmDasRaGH40FCNhTf7+O0QXhk3bOLVuhW3U6KFRW3UMJRP0reymWNKi+FD9fC&#10;YXZADNsVrvAoNSEJ7SzOKnJf/3Uf49FSeDlrMYs59182winO9HuDZp8Mj6KcIR2OxpMRDu6pZ/XU&#10;YzbNOYH8EHtsZTJjfNB7s3TUfMYSLmJWuISRyJ3zsDfPQ78hWGKpFosUhHG1IlyaGysjdJTa0GIT&#10;qKxTS6JMvTY79TCwSfbdcsWNeHpOUY8flP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Vt8OdYA&#10;AAAKAQAADwAAAAAAAAABACAAAAAiAAAAZHJzL2Rvd25yZXYueG1sUEsBAhQAFAAAAAgAh07iQMWI&#10;pohaAgAAmAQAAA4AAAAAAAAAAQAgAAAAJQEAAGRycy9lMm9Eb2MueG1sUEsFBgAAAAAGAAYAWQEA&#10;APEFAAAAAA==&#10;">
                <v:fill on="t" focussize="0,0"/>
                <v:stroke on="f" weight="0.5pt"/>
                <v:imagedata o:title=""/>
                <o:lock v:ext="edit" aspectratio="f"/>
                <v:textbox>
                  <w:txbxContent>
                    <w:p w14:paraId="0CB6DCC0">
                      <w:pPr>
                        <w:rPr>
                          <w:rFonts w:hint="default" w:eastAsia="仿宋_GB2312"/>
                          <w:lang w:val="en-US" w:eastAsia="zh-CN"/>
                        </w:rPr>
                      </w:pPr>
                      <w:r>
                        <w:rPr>
                          <w:rFonts w:hint="eastAsia"/>
                          <w:lang w:val="en-US" w:eastAsia="zh-CN"/>
                        </w:rPr>
                        <w:t>附件：1</w:t>
                      </w:r>
                    </w:p>
                  </w:txbxContent>
                </v:textbox>
              </v:shape>
            </w:pict>
          </mc:Fallback>
        </mc:AlternateContent>
      </w:r>
      <w:r>
        <w:rPr>
          <w:rFonts w:hint="eastAsia" w:ascii="方正小标宋简体" w:hAnsi="方正小标宋简体" w:eastAsia="方正小标宋简体" w:cs="方正小标宋简体"/>
          <w:color w:val="000000"/>
          <w:kern w:val="32"/>
          <w:sz w:val="36"/>
          <w:szCs w:val="36"/>
          <w:lang w:val="en-US" w:eastAsia="zh-CN"/>
        </w:rPr>
        <w:t>2025年指挥中心博士后研究人员招收计划表</w:t>
      </w:r>
      <w:bookmarkEnd w:id="0"/>
    </w:p>
    <w:tbl>
      <w:tblPr>
        <w:tblStyle w:val="2"/>
        <w:tblW w:w="9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8"/>
        <w:gridCol w:w="4048"/>
        <w:gridCol w:w="2121"/>
        <w:gridCol w:w="651"/>
        <w:gridCol w:w="768"/>
      </w:tblGrid>
      <w:tr w14:paraId="79EEF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07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iCs w:val="0"/>
                <w:color w:val="000000"/>
                <w:sz w:val="18"/>
                <w:szCs w:val="18"/>
                <w:u w:val="none"/>
                <w:lang w:val="en-US"/>
              </w:rPr>
            </w:pPr>
            <w:r>
              <w:rPr>
                <w:rFonts w:hint="eastAsia" w:ascii="黑体" w:hAnsi="宋体" w:eastAsia="黑体" w:cs="黑体"/>
                <w:i w:val="0"/>
                <w:iCs w:val="0"/>
                <w:color w:val="000000"/>
                <w:kern w:val="0"/>
                <w:sz w:val="18"/>
                <w:szCs w:val="18"/>
                <w:u w:val="none"/>
                <w:lang w:val="en-US" w:eastAsia="zh-CN" w:bidi="ar"/>
              </w:rPr>
              <w:t>研究领域</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93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科研内容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6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招收专业</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AA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招收</w:t>
            </w:r>
          </w:p>
          <w:p w14:paraId="69B7F3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2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合作</w:t>
            </w:r>
          </w:p>
          <w:p w14:paraId="1D5B0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导师</w:t>
            </w:r>
          </w:p>
        </w:tc>
      </w:tr>
      <w:tr w14:paraId="769C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B0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自然资源与生态保护修复</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34B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1.开展自然资源综合调查与评价关键技术研究；2.开展我国北方干旱半干旱区地球关键带水资源循环机理及其生态功能研究。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E8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自然地理学、生态学（能熟练运用遥感解译和地理信息系统平台）</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CF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193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李俊生</w:t>
            </w:r>
          </w:p>
        </w:tc>
      </w:tr>
      <w:tr w14:paraId="248C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DE7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第四纪地质环境演变与地表基质研究</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F5B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1.开展不同气候区地表基质与植被生态约束机理研究；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2.开展北方黄土-沙漠-黑土区全新世地质环境演变过程研究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309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第四纪地质学、植被生态学、土壤物理学、水文地质学、自然地理学等</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4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CA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殷志强</w:t>
            </w:r>
          </w:p>
        </w:tc>
      </w:tr>
      <w:tr w14:paraId="065B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CE4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自然资源监测（观测）</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BB7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1. 开展自然地理综合区划技术研究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 开展资源生态变化观测与风险监测预警研究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2DCB">
            <w:pPr>
              <w:keepNext w:val="0"/>
              <w:keepLines w:val="0"/>
              <w:widowControl/>
              <w:suppressLineNumbers w:val="0"/>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地质资源与地质工程（地球探测与信息技术）、工程力学(三维立体建模）、公共管理（土地资源管理）、农业资源与环境（土地科学与技术）、地理学、生态学、资源与环境、林学、草学、遥感科学与技术、水土保持与荒漠化防治学、地质学，以及自然资源相关交叉学科</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E7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B82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刘晓煌</w:t>
            </w:r>
          </w:p>
        </w:tc>
      </w:tr>
      <w:tr w14:paraId="225A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F4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自然资源监测（观测）</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4EC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1.开展内蒙古鄂尔多斯地区生态要素变化及其地学机理研究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2.开展干旱-半干旱地区水文地质及水环境演化研究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3.开展荒漠化、水土流失及地貌演化研究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F8CF">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地球物理学、地质学、地质资源与地质工程（地球探测与信息技术）、工程力学(三维立体建模）、地理学、生态学、遥感科学与技术等相关专业</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F9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D02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李朝柱</w:t>
            </w:r>
          </w:p>
        </w:tc>
      </w:tr>
      <w:tr w14:paraId="3CF1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7B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iCs w:val="0"/>
                <w:color w:val="000000"/>
                <w:sz w:val="18"/>
                <w:szCs w:val="18"/>
                <w:u w:val="none"/>
                <w:lang w:val="en-US"/>
              </w:rPr>
            </w:pPr>
            <w:r>
              <w:rPr>
                <w:rFonts w:hint="eastAsia" w:ascii="黑体" w:hAnsi="宋体" w:eastAsia="黑体" w:cs="黑体"/>
                <w:i w:val="0"/>
                <w:iCs w:val="0"/>
                <w:color w:val="000000"/>
                <w:kern w:val="0"/>
                <w:sz w:val="18"/>
                <w:szCs w:val="18"/>
                <w:u w:val="none"/>
                <w:lang w:val="en-US" w:eastAsia="zh-CN" w:bidi="ar"/>
              </w:rPr>
              <w:t>研究领域</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C1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科研内容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CC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招收专业</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B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招收</w:t>
            </w:r>
          </w:p>
          <w:p w14:paraId="4CCDD0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合作</w:t>
            </w:r>
          </w:p>
          <w:p w14:paraId="7C81E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导师</w:t>
            </w:r>
          </w:p>
        </w:tc>
      </w:tr>
      <w:tr w14:paraId="2A0F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2"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F6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自然资源、战略性矿产资源</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调查技术方法与评价</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6E8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 xml:space="preserve">1、金等战略矿产绿色、高效、快速检测技术研究；                       2、有益、有害元素快速检测技术及在水-土-生多界面迁移、归趋研究；                                     3、高光谱、机器学习等现代技术在自然资源检验检测领域的应用开发研究。 </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FBDA">
            <w:pPr>
              <w:keepNext w:val="0"/>
              <w:keepLines w:val="0"/>
              <w:widowControl/>
              <w:suppressLineNumbers w:val="0"/>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化学、矿物学、环境科学、地质学等相关专业</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42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C6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刘玖芬     段留安</w:t>
            </w:r>
          </w:p>
        </w:tc>
      </w:tr>
      <w:tr w14:paraId="5302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DF8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战略性矿产资源调查技术方法与评价</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7FE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1.开展中国新类型金矿综合调查及潜力评价研究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2.开展金矿大数据智能找矿预测研究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1.开展阿尔金锂铍、萤石（锂）矿成矿规律及找矿技术方法研究          2.开展秦岭成矿带锑金多金属矿成矿规律与找矿预测</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BB9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矿物学、岩石学、矿床学或矿产普查与勘探专业、地球探测与信息技术</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B2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E94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杜治利</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高永宝</w:t>
            </w:r>
          </w:p>
        </w:tc>
      </w:tr>
      <w:tr w14:paraId="1B78E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092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战略性矿产资源</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调查与评价</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7B6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1.开展青藏高原东构造结岩石圈结构反演研究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2.开展中深层基于多源数据融合的岩石圈结构研究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3.古亚洲洋东部古生代构造演化研究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4.华北地块北缘晚古生代构造演化研究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5.阿拉善地块北缘晚古生代构造演化研究</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6.雅鲁藏布江洋盆构造演化研究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3F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地球物理学（0708）、地质学（0709）、地质资源与地质工程（0818）</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2C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E54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田玉昆陈英富</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佟志强</w:t>
            </w:r>
          </w:p>
        </w:tc>
      </w:tr>
      <w:tr w14:paraId="7DCE3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F00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地质调查</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信息化</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71D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Style w:val="4"/>
                <w:rFonts w:hAnsi="宋体"/>
                <w:sz w:val="15"/>
                <w:szCs w:val="15"/>
                <w:lang w:val="en-US" w:eastAsia="zh-CN" w:bidi="ar"/>
              </w:rPr>
              <w:t>1.开展三维地质建模技术研究，研发基于全网格空间的三维地质模型构建技术；</w:t>
            </w:r>
            <w:r>
              <w:rPr>
                <w:rStyle w:val="4"/>
                <w:rFonts w:hAnsi="宋体"/>
                <w:sz w:val="15"/>
                <w:szCs w:val="15"/>
                <w:lang w:val="en-US" w:eastAsia="zh-CN" w:bidi="ar"/>
              </w:rPr>
              <w:br w:type="textWrapping"/>
            </w:r>
            <w:r>
              <w:rPr>
                <w:rStyle w:val="4"/>
                <w:rFonts w:hAnsi="宋体"/>
                <w:sz w:val="15"/>
                <w:szCs w:val="15"/>
                <w:lang w:val="en-US" w:eastAsia="zh-CN" w:bidi="ar"/>
              </w:rPr>
              <w:t>2.开展地质调查信息化前沿技术跟踪和在地质调查领域适应性研究。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A522">
            <w:pPr>
              <w:keepNext w:val="0"/>
              <w:keepLines w:val="0"/>
              <w:widowControl/>
              <w:suppressLineNumbers w:val="0"/>
              <w:jc w:val="center"/>
              <w:textAlignment w:val="center"/>
              <w:rPr>
                <w:rFonts w:hint="default"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地理信息系统，软件工程，地质学</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（有地质和地理信息系统，地质和计算机交叉背景优先）</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4E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010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高振记</w:t>
            </w:r>
          </w:p>
        </w:tc>
      </w:tr>
      <w:tr w14:paraId="35F1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EBA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地质调查</w:t>
            </w:r>
            <w:r>
              <w:rPr>
                <w:rFonts w:hint="eastAsia" w:ascii="仿宋_GB2312" w:hAnsi="宋体" w:eastAsia="仿宋_GB2312" w:cs="仿宋_GB2312"/>
                <w:i w:val="0"/>
                <w:iCs w:val="0"/>
                <w:color w:val="000000"/>
                <w:kern w:val="0"/>
                <w:sz w:val="15"/>
                <w:szCs w:val="15"/>
                <w:u w:val="none"/>
                <w:lang w:val="en-US" w:eastAsia="zh-CN" w:bidi="ar"/>
              </w:rPr>
              <w:br w:type="textWrapping"/>
            </w:r>
            <w:r>
              <w:rPr>
                <w:rFonts w:hint="eastAsia" w:ascii="仿宋_GB2312" w:hAnsi="宋体" w:eastAsia="仿宋_GB2312" w:cs="仿宋_GB2312"/>
                <w:i w:val="0"/>
                <w:iCs w:val="0"/>
                <w:color w:val="000000"/>
                <w:kern w:val="0"/>
                <w:sz w:val="15"/>
                <w:szCs w:val="15"/>
                <w:u w:val="none"/>
                <w:lang w:val="en-US" w:eastAsia="zh-CN" w:bidi="ar"/>
              </w:rPr>
              <w:t>信息化</w:t>
            </w:r>
          </w:p>
        </w:tc>
        <w:tc>
          <w:tcPr>
            <w:tcW w:w="4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CF1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1.地质调查数字化与智能化关键技术研究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63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15"/>
                <w:szCs w:val="15"/>
                <w:u w:val="none"/>
                <w:lang w:val="en-US" w:eastAsia="zh-CN" w:bidi="ar-SA"/>
              </w:rPr>
            </w:pPr>
            <w:r>
              <w:rPr>
                <w:rFonts w:hint="eastAsia" w:ascii="仿宋_GB2312" w:hAnsi="宋体" w:eastAsia="仿宋_GB2312" w:cs="仿宋_GB2312"/>
                <w:i w:val="0"/>
                <w:iCs w:val="0"/>
                <w:color w:val="000000"/>
                <w:kern w:val="0"/>
                <w:sz w:val="15"/>
                <w:szCs w:val="15"/>
                <w:u w:val="none"/>
                <w:lang w:val="en-US" w:eastAsia="zh-CN" w:bidi="ar"/>
              </w:rPr>
              <w:t>计算机科学与技术、软件工程、模式识别与智能系统、地图学与地理信息系统、地球信息探测等相关专业</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8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CD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李丰丹</w:t>
            </w:r>
          </w:p>
        </w:tc>
      </w:tr>
    </w:tbl>
    <w:p w14:paraId="401D17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510BD"/>
    <w:rsid w:val="7065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2025-02-13T05:51:00Z</dcterms:created>
  <dc:creator>易燃他妈</dc:creator>
  <cp:lastModifiedBy>易燃他妈</cp:lastModifiedBy>
  <dcterms:modified xsi:type="dcterms:W3CDTF">2025-02-13T05:52:04Z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14D4C618085348C795109C9D61BDE212_11</vt:lpwstr>
  </property>
  <property fmtid="{D5CDD505-2E9C-101B-9397-08002B2CF9AE}" pid="4" name="KSOTemplateDocerSaveRecord">
    <vt:lpwstr>eyJoZGlkIjoiZWVlZmE5NzY5NGZjNjUyZDc2M2Q3YzJkODA2NTJjMjgiLCJ1c2VySWQiOiI2MTE0NTkwNTMifQ==</vt:lpwstr>
  </property>
</Properties>
</file>