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B1" w:rsidRPr="002063D0" w:rsidRDefault="005541B1" w:rsidP="005541B1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</w:p>
    <w:p w:rsidR="005541B1" w:rsidRPr="002063D0" w:rsidRDefault="00623813" w:rsidP="005541B1">
      <w:pPr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06CF8">
        <w:rPr>
          <w:rFonts w:ascii="微软雅黑" w:eastAsia="微软雅黑" w:hAnsi="微软雅黑" w:hint="eastAsia"/>
          <w:color w:val="000000"/>
          <w:sz w:val="27"/>
          <w:szCs w:val="27"/>
        </w:rPr>
        <w:t>地</w:t>
      </w:r>
      <w:proofErr w:type="gramStart"/>
      <w:r w:rsidRPr="00606CF8">
        <w:rPr>
          <w:rFonts w:ascii="微软雅黑" w:eastAsia="微软雅黑" w:hAnsi="微软雅黑" w:hint="eastAsia"/>
          <w:color w:val="000000"/>
          <w:sz w:val="27"/>
          <w:szCs w:val="27"/>
        </w:rPr>
        <w:t>调项目</w:t>
      </w:r>
      <w:proofErr w:type="gramEnd"/>
      <w:r w:rsidRPr="00606CF8">
        <w:rPr>
          <w:rFonts w:ascii="微软雅黑" w:eastAsia="微软雅黑" w:hAnsi="微软雅黑" w:hint="eastAsia"/>
          <w:color w:val="000000"/>
          <w:sz w:val="27"/>
          <w:szCs w:val="27"/>
        </w:rPr>
        <w:t>委托业务暂停</w:t>
      </w:r>
      <w:r w:rsidRPr="00606CF8">
        <w:rPr>
          <w:rFonts w:ascii="微软雅黑" w:eastAsia="微软雅黑" w:hAnsi="微软雅黑" w:cs="宋体" w:hint="eastAsia"/>
          <w:color w:val="000000"/>
          <w:sz w:val="27"/>
          <w:szCs w:val="27"/>
        </w:rPr>
        <w:t>采购清单</w:t>
      </w:r>
    </w:p>
    <w:tbl>
      <w:tblPr>
        <w:tblStyle w:val="a7"/>
        <w:tblW w:w="8330" w:type="dxa"/>
        <w:tblLayout w:type="fixed"/>
        <w:tblLook w:val="04A0"/>
      </w:tblPr>
      <w:tblGrid>
        <w:gridCol w:w="660"/>
        <w:gridCol w:w="4551"/>
        <w:gridCol w:w="1418"/>
        <w:gridCol w:w="1701"/>
      </w:tblGrid>
      <w:tr w:rsidR="005541B1" w:rsidRPr="002063D0" w:rsidTr="005B2C30">
        <w:trPr>
          <w:trHeight w:val="903"/>
        </w:trPr>
        <w:tc>
          <w:tcPr>
            <w:tcW w:w="660" w:type="dxa"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63D0">
              <w:rPr>
                <w:rFonts w:ascii="Times New Roman" w:eastAsia="宋体" w:hAnsi="宋体" w:cs="Times New Roman"/>
                <w:szCs w:val="21"/>
              </w:rPr>
              <w:t>序号</w:t>
            </w:r>
          </w:p>
        </w:tc>
        <w:tc>
          <w:tcPr>
            <w:tcW w:w="4551" w:type="dxa"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63D0">
              <w:rPr>
                <w:rFonts w:ascii="Times New Roman" w:eastAsia="宋体" w:hAnsi="宋体" w:cs="Times New Roman"/>
                <w:szCs w:val="21"/>
              </w:rPr>
              <w:t>委托业务名称</w:t>
            </w:r>
          </w:p>
        </w:tc>
        <w:tc>
          <w:tcPr>
            <w:tcW w:w="1418" w:type="dxa"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63D0">
              <w:rPr>
                <w:rFonts w:ascii="Times New Roman" w:eastAsia="宋体" w:hAnsi="宋体" w:cs="Times New Roman"/>
                <w:szCs w:val="21"/>
              </w:rPr>
              <w:t>委托业务费用（万元）</w:t>
            </w:r>
          </w:p>
        </w:tc>
        <w:tc>
          <w:tcPr>
            <w:tcW w:w="1701" w:type="dxa"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委托方式</w:t>
            </w:r>
          </w:p>
        </w:tc>
      </w:tr>
      <w:tr w:rsidR="00623813" w:rsidRPr="002063D0" w:rsidTr="005B2C30">
        <w:trPr>
          <w:trHeight w:val="903"/>
        </w:trPr>
        <w:tc>
          <w:tcPr>
            <w:tcW w:w="660" w:type="dxa"/>
            <w:vAlign w:val="center"/>
          </w:tcPr>
          <w:p w:rsidR="00623813" w:rsidRPr="00B32B49" w:rsidRDefault="00623813" w:rsidP="00B32B49">
            <w:pPr>
              <w:jc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1</w:t>
            </w:r>
          </w:p>
        </w:tc>
        <w:tc>
          <w:tcPr>
            <w:tcW w:w="4551" w:type="dxa"/>
            <w:vAlign w:val="center"/>
          </w:tcPr>
          <w:p w:rsidR="00623813" w:rsidRPr="00B32B49" w:rsidRDefault="00623813" w:rsidP="00B32B49">
            <w:pPr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/>
              </w:rPr>
              <w:t>银额盆地西部</w:t>
            </w:r>
            <w:r w:rsidRPr="00B32B49">
              <w:rPr>
                <w:rFonts w:ascii="Times New Roman" w:cs="Times New Roman" w:hint="eastAsia"/>
              </w:rPr>
              <w:t>-</w:t>
            </w:r>
            <w:r w:rsidRPr="00B32B49">
              <w:rPr>
                <w:rFonts w:ascii="Times New Roman" w:cs="Times New Roman"/>
              </w:rPr>
              <w:t>北山盆地群油气地质调查</w:t>
            </w:r>
            <w:r w:rsidRPr="00B32B49">
              <w:rPr>
                <w:rFonts w:ascii="Times New Roman" w:cs="Times New Roman" w:hint="eastAsia"/>
                <w:szCs w:val="21"/>
              </w:rPr>
              <w:t>二维地震测量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600.00</w:t>
            </w:r>
          </w:p>
        </w:tc>
        <w:tc>
          <w:tcPr>
            <w:tcW w:w="1701" w:type="dxa"/>
            <w:vMerge w:val="restart"/>
            <w:vAlign w:val="center"/>
          </w:tcPr>
          <w:p w:rsidR="00623813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公开招标</w:t>
            </w:r>
          </w:p>
        </w:tc>
      </w:tr>
      <w:tr w:rsidR="00623813" w:rsidRPr="002063D0" w:rsidTr="005B2C30">
        <w:trPr>
          <w:trHeight w:val="903"/>
        </w:trPr>
        <w:tc>
          <w:tcPr>
            <w:tcW w:w="660" w:type="dxa"/>
            <w:vAlign w:val="center"/>
          </w:tcPr>
          <w:p w:rsidR="00623813" w:rsidRPr="00B32B49" w:rsidRDefault="00623813" w:rsidP="00B32B49">
            <w:pPr>
              <w:jc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2</w:t>
            </w:r>
          </w:p>
        </w:tc>
        <w:tc>
          <w:tcPr>
            <w:tcW w:w="4551" w:type="dxa"/>
            <w:vAlign w:val="center"/>
          </w:tcPr>
          <w:p w:rsidR="00623813" w:rsidRPr="00B32B49" w:rsidRDefault="00623813" w:rsidP="00B32B49">
            <w:pPr>
              <w:widowControl/>
              <w:textAlignment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关中地区氦气资源调查二维地震测量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240.00</w:t>
            </w:r>
          </w:p>
        </w:tc>
        <w:tc>
          <w:tcPr>
            <w:tcW w:w="1701" w:type="dxa"/>
            <w:vMerge/>
            <w:vAlign w:val="center"/>
          </w:tcPr>
          <w:p w:rsidR="00623813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197C26" w:rsidTr="005B2C30">
        <w:trPr>
          <w:trHeight w:val="903"/>
        </w:trPr>
        <w:tc>
          <w:tcPr>
            <w:tcW w:w="660" w:type="dxa"/>
            <w:vAlign w:val="center"/>
          </w:tcPr>
          <w:p w:rsidR="00623813" w:rsidRPr="00B32B49" w:rsidRDefault="00623813" w:rsidP="00B32B49">
            <w:pPr>
              <w:jc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3</w:t>
            </w:r>
          </w:p>
        </w:tc>
        <w:tc>
          <w:tcPr>
            <w:tcW w:w="4551" w:type="dxa"/>
            <w:vAlign w:val="center"/>
          </w:tcPr>
          <w:p w:rsidR="00623813" w:rsidRPr="00B32B49" w:rsidRDefault="00623813" w:rsidP="00B32B49">
            <w:pPr>
              <w:widowControl/>
              <w:textAlignment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西安多要素城市地质调查</w:t>
            </w:r>
            <w:r w:rsidRPr="00B32B49">
              <w:rPr>
                <w:rFonts w:ascii="Times New Roman" w:cs="Times New Roman" w:hint="eastAsia"/>
                <w:szCs w:val="21"/>
              </w:rPr>
              <w:t>-</w:t>
            </w:r>
            <w:r w:rsidRPr="00B32B49">
              <w:rPr>
                <w:rFonts w:ascii="Times New Roman" w:cs="Times New Roman" w:hint="eastAsia"/>
                <w:szCs w:val="21"/>
              </w:rPr>
              <w:t>西咸新区工程地质钻探及测井与土工试验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100.00</w:t>
            </w:r>
          </w:p>
        </w:tc>
        <w:tc>
          <w:tcPr>
            <w:tcW w:w="1701" w:type="dxa"/>
            <w:vMerge/>
            <w:vAlign w:val="center"/>
          </w:tcPr>
          <w:p w:rsidR="00623813" w:rsidRPr="00197C26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197C26" w:rsidTr="005B2C30">
        <w:trPr>
          <w:trHeight w:val="903"/>
        </w:trPr>
        <w:tc>
          <w:tcPr>
            <w:tcW w:w="660" w:type="dxa"/>
            <w:vAlign w:val="center"/>
          </w:tcPr>
          <w:p w:rsidR="00623813" w:rsidRPr="00B32B49" w:rsidRDefault="00623813" w:rsidP="00B32B49">
            <w:pPr>
              <w:jc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4</w:t>
            </w:r>
          </w:p>
        </w:tc>
        <w:tc>
          <w:tcPr>
            <w:tcW w:w="4551" w:type="dxa"/>
            <w:vAlign w:val="center"/>
          </w:tcPr>
          <w:p w:rsidR="00623813" w:rsidRPr="00B32B49" w:rsidRDefault="00623813" w:rsidP="00B32B49">
            <w:pPr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南疆</w:t>
            </w:r>
            <w:proofErr w:type="gramStart"/>
            <w:r w:rsidRPr="00B32B49">
              <w:rPr>
                <w:rFonts w:ascii="Times New Roman" w:cs="Times New Roman" w:hint="eastAsia"/>
                <w:szCs w:val="21"/>
              </w:rPr>
              <w:t>兵团师市规划</w:t>
            </w:r>
            <w:proofErr w:type="gramEnd"/>
            <w:r w:rsidRPr="00B32B49">
              <w:rPr>
                <w:rFonts w:ascii="Times New Roman" w:cs="Times New Roman" w:hint="eastAsia"/>
                <w:szCs w:val="21"/>
              </w:rPr>
              <w:t>建设区资源环境综合地质调查水文地质工程地质钻探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100.00</w:t>
            </w:r>
          </w:p>
        </w:tc>
        <w:tc>
          <w:tcPr>
            <w:tcW w:w="1701" w:type="dxa"/>
            <w:vMerge/>
            <w:vAlign w:val="center"/>
          </w:tcPr>
          <w:p w:rsidR="00623813" w:rsidRPr="00197C26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197C26" w:rsidTr="005B2C30">
        <w:trPr>
          <w:trHeight w:val="903"/>
        </w:trPr>
        <w:tc>
          <w:tcPr>
            <w:tcW w:w="660" w:type="dxa"/>
            <w:vAlign w:val="center"/>
          </w:tcPr>
          <w:p w:rsidR="00623813" w:rsidRPr="00B32B49" w:rsidRDefault="00623813" w:rsidP="00B32B49">
            <w:pPr>
              <w:jc w:val="center"/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5</w:t>
            </w:r>
          </w:p>
        </w:tc>
        <w:tc>
          <w:tcPr>
            <w:tcW w:w="4551" w:type="dxa"/>
            <w:vAlign w:val="center"/>
          </w:tcPr>
          <w:p w:rsidR="00623813" w:rsidRPr="00B32B49" w:rsidRDefault="00623813" w:rsidP="00B32B49">
            <w:pPr>
              <w:rPr>
                <w:rFonts w:ascii="Times New Roman" w:cs="Times New Roman"/>
                <w:szCs w:val="21"/>
              </w:rPr>
            </w:pPr>
            <w:r w:rsidRPr="00B32B49">
              <w:rPr>
                <w:rFonts w:ascii="Times New Roman" w:cs="Times New Roman" w:hint="eastAsia"/>
                <w:szCs w:val="21"/>
              </w:rPr>
              <w:t>塔里木盆地开孔河</w:t>
            </w:r>
            <w:r w:rsidRPr="00B32B49">
              <w:rPr>
                <w:rFonts w:ascii="Times New Roman" w:cs="Times New Roman" w:hint="eastAsia"/>
                <w:szCs w:val="21"/>
              </w:rPr>
              <w:t>-</w:t>
            </w:r>
            <w:r w:rsidRPr="00B32B49">
              <w:rPr>
                <w:rFonts w:ascii="Times New Roman" w:cs="Times New Roman" w:hint="eastAsia"/>
                <w:szCs w:val="21"/>
              </w:rPr>
              <w:t>台特玛湖段、若羌</w:t>
            </w:r>
            <w:r w:rsidRPr="00B32B49">
              <w:rPr>
                <w:rFonts w:ascii="Times New Roman" w:cs="Times New Roman" w:hint="eastAsia"/>
                <w:szCs w:val="21"/>
              </w:rPr>
              <w:t>-</w:t>
            </w:r>
            <w:r w:rsidRPr="00B32B49">
              <w:rPr>
                <w:rFonts w:ascii="Times New Roman" w:cs="Times New Roman" w:hint="eastAsia"/>
                <w:szCs w:val="21"/>
              </w:rPr>
              <w:t>皮山段、阿克苏</w:t>
            </w:r>
            <w:r w:rsidRPr="00B32B49">
              <w:rPr>
                <w:rFonts w:ascii="Times New Roman" w:cs="Times New Roman" w:hint="eastAsia"/>
                <w:szCs w:val="21"/>
              </w:rPr>
              <w:t>-</w:t>
            </w:r>
            <w:proofErr w:type="gramStart"/>
            <w:r w:rsidRPr="00B32B49">
              <w:rPr>
                <w:rFonts w:ascii="Times New Roman" w:cs="Times New Roman" w:hint="eastAsia"/>
                <w:szCs w:val="21"/>
              </w:rPr>
              <w:t>渭干河段</w:t>
            </w:r>
            <w:bookmarkStart w:id="0" w:name="_GoBack"/>
            <w:bookmarkEnd w:id="0"/>
            <w:proofErr w:type="gramEnd"/>
            <w:r w:rsidRPr="00B32B49">
              <w:rPr>
                <w:rFonts w:ascii="Times New Roman" w:cs="Times New Roman" w:hint="eastAsia"/>
                <w:szCs w:val="21"/>
              </w:rPr>
              <w:t>地下水水位统测与水土样测试分析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139.25</w:t>
            </w:r>
          </w:p>
        </w:tc>
        <w:tc>
          <w:tcPr>
            <w:tcW w:w="1701" w:type="dxa"/>
            <w:vMerge/>
            <w:vAlign w:val="center"/>
          </w:tcPr>
          <w:p w:rsidR="00623813" w:rsidRPr="00197C26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903"/>
        </w:trPr>
        <w:tc>
          <w:tcPr>
            <w:tcW w:w="660" w:type="dxa"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6</w:t>
            </w:r>
          </w:p>
        </w:tc>
        <w:tc>
          <w:tcPr>
            <w:tcW w:w="4551" w:type="dxa"/>
            <w:vAlign w:val="center"/>
          </w:tcPr>
          <w:p w:rsidR="00623813" w:rsidRPr="00F55B64" w:rsidRDefault="00623813" w:rsidP="00F55B64">
            <w:pPr>
              <w:rPr>
                <w:rFonts w:ascii="Times New Roman" w:cs="Times New Roman"/>
                <w:szCs w:val="21"/>
              </w:rPr>
            </w:pPr>
            <w:r w:rsidRPr="00F55B64">
              <w:rPr>
                <w:rFonts w:ascii="Times New Roman" w:cs="Times New Roman" w:hint="eastAsia"/>
                <w:szCs w:val="21"/>
              </w:rPr>
              <w:t>新疆耕地区土地质量地球化学调查</w:t>
            </w:r>
            <w:r w:rsidRPr="00F55B64">
              <w:rPr>
                <w:rFonts w:ascii="Times New Roman" w:cs="Times New Roman" w:hint="eastAsia"/>
                <w:szCs w:val="21"/>
              </w:rPr>
              <w:t>-</w:t>
            </w:r>
            <w:r w:rsidRPr="00F55B64">
              <w:rPr>
                <w:rFonts w:ascii="Times New Roman" w:cs="Times New Roman" w:hint="eastAsia"/>
                <w:szCs w:val="21"/>
              </w:rPr>
              <w:t>样品测试</w:t>
            </w:r>
          </w:p>
        </w:tc>
        <w:tc>
          <w:tcPr>
            <w:tcW w:w="1418" w:type="dxa"/>
            <w:vAlign w:val="center"/>
          </w:tcPr>
          <w:p w:rsidR="00623813" w:rsidRPr="00F61AF2" w:rsidRDefault="00623813" w:rsidP="00F61A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1AF2">
              <w:rPr>
                <w:rFonts w:ascii="Times New Roman" w:hAnsi="Times New Roman" w:cs="Times New Roman" w:hint="eastAsia"/>
                <w:szCs w:val="21"/>
              </w:rPr>
              <w:t>113.00</w:t>
            </w:r>
          </w:p>
        </w:tc>
        <w:tc>
          <w:tcPr>
            <w:tcW w:w="1701" w:type="dxa"/>
            <w:vMerge/>
            <w:vAlign w:val="center"/>
          </w:tcPr>
          <w:p w:rsidR="00623813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41B1" w:rsidRPr="002063D0" w:rsidTr="005B2C30">
        <w:trPr>
          <w:trHeight w:val="375"/>
        </w:trPr>
        <w:tc>
          <w:tcPr>
            <w:tcW w:w="660" w:type="dxa"/>
            <w:vAlign w:val="center"/>
          </w:tcPr>
          <w:p w:rsidR="005541B1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4551" w:type="dxa"/>
            <w:vAlign w:val="center"/>
          </w:tcPr>
          <w:p w:rsidR="005541B1" w:rsidRPr="00181AFA" w:rsidRDefault="005541B1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巴基斯坦查盖地区遥感解释和矿化蚀变信息提取</w:t>
            </w:r>
          </w:p>
        </w:tc>
        <w:tc>
          <w:tcPr>
            <w:tcW w:w="1418" w:type="dxa"/>
            <w:vAlign w:val="center"/>
          </w:tcPr>
          <w:p w:rsidR="005541B1" w:rsidRPr="00181AFA" w:rsidRDefault="005541B1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45.00 </w:t>
            </w:r>
          </w:p>
        </w:tc>
        <w:tc>
          <w:tcPr>
            <w:tcW w:w="1701" w:type="dxa"/>
            <w:vMerge w:val="restart"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评审委托</w:t>
            </w:r>
          </w:p>
        </w:tc>
      </w:tr>
      <w:tr w:rsidR="005541B1" w:rsidRPr="002063D0" w:rsidTr="005B2C30">
        <w:trPr>
          <w:trHeight w:val="396"/>
        </w:trPr>
        <w:tc>
          <w:tcPr>
            <w:tcW w:w="660" w:type="dxa"/>
            <w:vAlign w:val="center"/>
          </w:tcPr>
          <w:p w:rsidR="005541B1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4551" w:type="dxa"/>
            <w:vAlign w:val="center"/>
          </w:tcPr>
          <w:p w:rsidR="005541B1" w:rsidRPr="00181AFA" w:rsidRDefault="005541B1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乌兹别克斯坦遥感解译与信息蚀变提取</w:t>
            </w:r>
          </w:p>
        </w:tc>
        <w:tc>
          <w:tcPr>
            <w:tcW w:w="1418" w:type="dxa"/>
            <w:vAlign w:val="center"/>
          </w:tcPr>
          <w:p w:rsidR="005541B1" w:rsidRPr="00181AFA" w:rsidRDefault="005541B1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50.00 </w:t>
            </w:r>
          </w:p>
        </w:tc>
        <w:tc>
          <w:tcPr>
            <w:tcW w:w="1701" w:type="dxa"/>
            <w:vMerge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41B1" w:rsidRPr="002063D0" w:rsidTr="005B2C30">
        <w:trPr>
          <w:trHeight w:val="794"/>
        </w:trPr>
        <w:tc>
          <w:tcPr>
            <w:tcW w:w="660" w:type="dxa"/>
            <w:vAlign w:val="center"/>
          </w:tcPr>
          <w:p w:rsidR="005541B1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4551" w:type="dxa"/>
            <w:vAlign w:val="center"/>
          </w:tcPr>
          <w:p w:rsidR="005541B1" w:rsidRPr="00181AFA" w:rsidRDefault="00F55B64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乌兹别克斯坦、哈萨克斯坦不同类型</w:t>
            </w:r>
            <w:r w:rsidR="005541B1" w:rsidRPr="00181AFA">
              <w:rPr>
                <w:rFonts w:ascii="Times New Roman" w:cs="Times New Roman"/>
                <w:szCs w:val="21"/>
              </w:rPr>
              <w:t>矿床开发利用状况调查与储量核查</w:t>
            </w:r>
          </w:p>
        </w:tc>
        <w:tc>
          <w:tcPr>
            <w:tcW w:w="1418" w:type="dxa"/>
            <w:vAlign w:val="center"/>
          </w:tcPr>
          <w:p w:rsidR="005541B1" w:rsidRPr="00181AFA" w:rsidRDefault="005541B1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40.00 </w:t>
            </w:r>
          </w:p>
        </w:tc>
        <w:tc>
          <w:tcPr>
            <w:tcW w:w="1701" w:type="dxa"/>
            <w:vMerge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41B1" w:rsidRPr="002063D0" w:rsidTr="005B2C30">
        <w:trPr>
          <w:trHeight w:val="794"/>
        </w:trPr>
        <w:tc>
          <w:tcPr>
            <w:tcW w:w="660" w:type="dxa"/>
            <w:vAlign w:val="center"/>
          </w:tcPr>
          <w:p w:rsidR="005541B1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4551" w:type="dxa"/>
            <w:vAlign w:val="center"/>
          </w:tcPr>
          <w:p w:rsidR="005541B1" w:rsidRPr="00181AFA" w:rsidRDefault="005541B1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吉尔吉斯斯坦南天山钨锡成矿带地球化学调查与资源潜力评价</w:t>
            </w:r>
          </w:p>
        </w:tc>
        <w:tc>
          <w:tcPr>
            <w:tcW w:w="1418" w:type="dxa"/>
            <w:vAlign w:val="center"/>
          </w:tcPr>
          <w:p w:rsidR="005541B1" w:rsidRPr="00181AFA" w:rsidRDefault="005541B1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45.00 </w:t>
            </w:r>
          </w:p>
        </w:tc>
        <w:tc>
          <w:tcPr>
            <w:tcW w:w="1701" w:type="dxa"/>
            <w:vMerge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41B1" w:rsidRPr="002063D0" w:rsidTr="005B2C30">
        <w:trPr>
          <w:trHeight w:val="771"/>
        </w:trPr>
        <w:tc>
          <w:tcPr>
            <w:tcW w:w="660" w:type="dxa"/>
            <w:vAlign w:val="center"/>
          </w:tcPr>
          <w:p w:rsidR="005541B1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4551" w:type="dxa"/>
            <w:vAlign w:val="center"/>
          </w:tcPr>
          <w:p w:rsidR="005541B1" w:rsidRPr="00181AFA" w:rsidRDefault="005541B1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塔吉克斯坦中南</w:t>
            </w:r>
            <w:proofErr w:type="gramStart"/>
            <w:r w:rsidRPr="00181AFA">
              <w:rPr>
                <w:rFonts w:ascii="Times New Roman" w:cs="Times New Roman"/>
                <w:szCs w:val="21"/>
              </w:rPr>
              <w:t>天山锑金铅锌</w:t>
            </w:r>
            <w:proofErr w:type="gramEnd"/>
            <w:r w:rsidRPr="00181AFA">
              <w:rPr>
                <w:rFonts w:ascii="Times New Roman" w:cs="Times New Roman"/>
                <w:szCs w:val="21"/>
              </w:rPr>
              <w:t>资源潜力区电法测量</w:t>
            </w:r>
          </w:p>
        </w:tc>
        <w:tc>
          <w:tcPr>
            <w:tcW w:w="1418" w:type="dxa"/>
            <w:vAlign w:val="center"/>
          </w:tcPr>
          <w:p w:rsidR="005541B1" w:rsidRPr="00181AFA" w:rsidRDefault="005541B1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40.00 </w:t>
            </w:r>
          </w:p>
        </w:tc>
        <w:tc>
          <w:tcPr>
            <w:tcW w:w="1701" w:type="dxa"/>
            <w:vMerge/>
            <w:vAlign w:val="center"/>
          </w:tcPr>
          <w:p w:rsidR="005541B1" w:rsidRPr="002063D0" w:rsidRDefault="005541B1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75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延安市工程地质钻探与三维模型建设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65.00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基于</w:t>
            </w:r>
            <w:proofErr w:type="spellStart"/>
            <w:r w:rsidRPr="00181AFA">
              <w:rPr>
                <w:rFonts w:ascii="Times New Roman" w:hAnsi="Times New Roman" w:cs="Times New Roman"/>
                <w:szCs w:val="21"/>
              </w:rPr>
              <w:t>InSAR</w:t>
            </w:r>
            <w:proofErr w:type="spellEnd"/>
            <w:r w:rsidRPr="00181AFA">
              <w:rPr>
                <w:rFonts w:ascii="Times New Roman" w:cs="Times New Roman"/>
                <w:szCs w:val="21"/>
              </w:rPr>
              <w:t>的调查测绘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30.00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75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优势入渗与斜坡稳定性模型试验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30.00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天水市工程地质钻探及原位测试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80.00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南疆</w:t>
            </w:r>
            <w:proofErr w:type="gramStart"/>
            <w:r w:rsidRPr="00181AFA">
              <w:rPr>
                <w:rFonts w:ascii="Times New Roman" w:cs="Times New Roman"/>
                <w:szCs w:val="21"/>
              </w:rPr>
              <w:t>兵团师市地下水</w:t>
            </w:r>
            <w:proofErr w:type="gramEnd"/>
            <w:r w:rsidRPr="00181AFA">
              <w:rPr>
                <w:rFonts w:ascii="Times New Roman" w:cs="Times New Roman"/>
                <w:szCs w:val="21"/>
              </w:rPr>
              <w:t>监测网建设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15.00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塔里木盆地典型地区土壤盐渍化调查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75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523CA">
              <w:rPr>
                <w:rFonts w:ascii="Times New Roman" w:cs="Times New Roman" w:hint="eastAsia"/>
                <w:szCs w:val="21"/>
              </w:rPr>
              <w:t>秦岭南部灾害地质调查工程地质钻探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lastRenderedPageBreak/>
              <w:t>19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基于演化过程的滑坡防治技术方法研发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20.00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软岩滑坡振动台试验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30.00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771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塔里木盆地开都河</w:t>
            </w:r>
            <w:r w:rsidRPr="00181AFA">
              <w:rPr>
                <w:rFonts w:ascii="Times New Roman" w:hAnsi="Times New Roman" w:cs="Times New Roman"/>
                <w:szCs w:val="21"/>
              </w:rPr>
              <w:t>-</w:t>
            </w:r>
            <w:r w:rsidRPr="00181AFA">
              <w:rPr>
                <w:rFonts w:ascii="Times New Roman" w:cs="Times New Roman"/>
                <w:szCs w:val="21"/>
              </w:rPr>
              <w:t>孔雀河流域水文地质调查钻探测井及喀什</w:t>
            </w:r>
            <w:r w:rsidRPr="00181AFA">
              <w:rPr>
                <w:rFonts w:ascii="Times New Roman" w:hAnsi="Times New Roman" w:cs="Times New Roman"/>
                <w:szCs w:val="21"/>
              </w:rPr>
              <w:t>-</w:t>
            </w:r>
            <w:r w:rsidRPr="00181AFA">
              <w:rPr>
                <w:rFonts w:ascii="Times New Roman" w:cs="Times New Roman"/>
                <w:szCs w:val="21"/>
              </w:rPr>
              <w:t>叶尔羌河段地下水水位统测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95.00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75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柴达木盆地地下水水位统测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794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阿克苏典型地区土壤的物源特征及其对土地退化影响调查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10.00 </w:t>
            </w:r>
          </w:p>
        </w:tc>
        <w:tc>
          <w:tcPr>
            <w:tcW w:w="1701" w:type="dxa"/>
            <w:vMerge/>
            <w:vAlign w:val="center"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75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黄河源地区冻土调查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20.55 </w:t>
            </w:r>
          </w:p>
        </w:tc>
        <w:tc>
          <w:tcPr>
            <w:tcW w:w="1701" w:type="dxa"/>
            <w:vMerge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396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关键带钻探与样品测试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44.02 </w:t>
            </w:r>
          </w:p>
        </w:tc>
        <w:tc>
          <w:tcPr>
            <w:tcW w:w="1701" w:type="dxa"/>
            <w:vMerge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3813" w:rsidRPr="002063D0" w:rsidTr="005B2C30">
        <w:trPr>
          <w:trHeight w:val="794"/>
        </w:trPr>
        <w:tc>
          <w:tcPr>
            <w:tcW w:w="660" w:type="dxa"/>
            <w:vAlign w:val="center"/>
          </w:tcPr>
          <w:p w:rsidR="00623813" w:rsidRPr="00181AFA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</w:p>
        </w:tc>
        <w:tc>
          <w:tcPr>
            <w:tcW w:w="4551" w:type="dxa"/>
            <w:vAlign w:val="center"/>
          </w:tcPr>
          <w:p w:rsidR="00623813" w:rsidRPr="00181AFA" w:rsidRDefault="00623813" w:rsidP="005B2C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cs="Times New Roman"/>
                <w:szCs w:val="21"/>
              </w:rPr>
              <w:t>黄河源地区气候变化引起的植被生态水文响应调查</w:t>
            </w:r>
          </w:p>
        </w:tc>
        <w:tc>
          <w:tcPr>
            <w:tcW w:w="1418" w:type="dxa"/>
            <w:vAlign w:val="center"/>
          </w:tcPr>
          <w:p w:rsidR="00623813" w:rsidRPr="00181AFA" w:rsidRDefault="00623813" w:rsidP="005B2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81AFA">
              <w:rPr>
                <w:rFonts w:ascii="Times New Roman" w:hAnsi="Times New Roman" w:cs="Times New Roman"/>
                <w:szCs w:val="21"/>
              </w:rPr>
              <w:t xml:space="preserve">15.00 </w:t>
            </w:r>
          </w:p>
        </w:tc>
        <w:tc>
          <w:tcPr>
            <w:tcW w:w="1701" w:type="dxa"/>
            <w:vMerge/>
          </w:tcPr>
          <w:p w:rsidR="00623813" w:rsidRPr="002063D0" w:rsidRDefault="00623813" w:rsidP="005B2C3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F2A3C" w:rsidRDefault="00AF2A3C"/>
    <w:p w:rsidR="00034D73" w:rsidRPr="00034D73" w:rsidRDefault="00034D73" w:rsidP="00AF2A3C">
      <w:pPr>
        <w:widowControl/>
        <w:jc w:val="left"/>
      </w:pPr>
    </w:p>
    <w:sectPr w:rsidR="00034D73" w:rsidRPr="00034D73" w:rsidSect="00C9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EE" w:rsidRDefault="00D333EE" w:rsidP="00034D73">
      <w:r>
        <w:separator/>
      </w:r>
    </w:p>
  </w:endnote>
  <w:endnote w:type="continuationSeparator" w:id="0">
    <w:p w:rsidR="00D333EE" w:rsidRDefault="00D333EE" w:rsidP="0003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EE" w:rsidRDefault="00D333EE" w:rsidP="00034D73">
      <w:r>
        <w:separator/>
      </w:r>
    </w:p>
  </w:footnote>
  <w:footnote w:type="continuationSeparator" w:id="0">
    <w:p w:rsidR="00D333EE" w:rsidRDefault="00D333EE" w:rsidP="00034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D73"/>
    <w:rsid w:val="0000703E"/>
    <w:rsid w:val="00034D73"/>
    <w:rsid w:val="00056431"/>
    <w:rsid w:val="0005751A"/>
    <w:rsid w:val="0007536C"/>
    <w:rsid w:val="00075B68"/>
    <w:rsid w:val="000850E0"/>
    <w:rsid w:val="00094547"/>
    <w:rsid w:val="000F23C8"/>
    <w:rsid w:val="00101A8D"/>
    <w:rsid w:val="00115F1A"/>
    <w:rsid w:val="00131E41"/>
    <w:rsid w:val="0013262A"/>
    <w:rsid w:val="001420AB"/>
    <w:rsid w:val="0018642F"/>
    <w:rsid w:val="00197C26"/>
    <w:rsid w:val="001B5B3F"/>
    <w:rsid w:val="001F6184"/>
    <w:rsid w:val="0022201D"/>
    <w:rsid w:val="002235DE"/>
    <w:rsid w:val="00246A7F"/>
    <w:rsid w:val="00261BE1"/>
    <w:rsid w:val="00270A8D"/>
    <w:rsid w:val="002913D8"/>
    <w:rsid w:val="002C5C32"/>
    <w:rsid w:val="002C79E8"/>
    <w:rsid w:val="002D0435"/>
    <w:rsid w:val="002E5390"/>
    <w:rsid w:val="002F07B7"/>
    <w:rsid w:val="002F2BF4"/>
    <w:rsid w:val="00320621"/>
    <w:rsid w:val="0033135A"/>
    <w:rsid w:val="00390577"/>
    <w:rsid w:val="003A0A56"/>
    <w:rsid w:val="003E1BF8"/>
    <w:rsid w:val="003E7827"/>
    <w:rsid w:val="003F0225"/>
    <w:rsid w:val="0040649C"/>
    <w:rsid w:val="00462EAA"/>
    <w:rsid w:val="004637E2"/>
    <w:rsid w:val="004A4F7C"/>
    <w:rsid w:val="004B2629"/>
    <w:rsid w:val="004B7347"/>
    <w:rsid w:val="004B76A9"/>
    <w:rsid w:val="004D55E5"/>
    <w:rsid w:val="005069C9"/>
    <w:rsid w:val="00510663"/>
    <w:rsid w:val="00542A69"/>
    <w:rsid w:val="0054775A"/>
    <w:rsid w:val="005541B1"/>
    <w:rsid w:val="00555120"/>
    <w:rsid w:val="0057341A"/>
    <w:rsid w:val="00574AA5"/>
    <w:rsid w:val="005932A4"/>
    <w:rsid w:val="005A439F"/>
    <w:rsid w:val="005F3FB4"/>
    <w:rsid w:val="00606CF8"/>
    <w:rsid w:val="00616BA9"/>
    <w:rsid w:val="00623813"/>
    <w:rsid w:val="00647BA2"/>
    <w:rsid w:val="006818C7"/>
    <w:rsid w:val="0069684B"/>
    <w:rsid w:val="006A2BA3"/>
    <w:rsid w:val="006B6D06"/>
    <w:rsid w:val="006D4595"/>
    <w:rsid w:val="006E5D92"/>
    <w:rsid w:val="006E6BF3"/>
    <w:rsid w:val="006E784E"/>
    <w:rsid w:val="006F5809"/>
    <w:rsid w:val="00714273"/>
    <w:rsid w:val="007357DA"/>
    <w:rsid w:val="00763DC1"/>
    <w:rsid w:val="007B1765"/>
    <w:rsid w:val="007E0B83"/>
    <w:rsid w:val="007E0D9A"/>
    <w:rsid w:val="007E3AD5"/>
    <w:rsid w:val="008157CC"/>
    <w:rsid w:val="008738D3"/>
    <w:rsid w:val="008774A3"/>
    <w:rsid w:val="00885432"/>
    <w:rsid w:val="0088645F"/>
    <w:rsid w:val="008A4FE8"/>
    <w:rsid w:val="008A5B90"/>
    <w:rsid w:val="008D643C"/>
    <w:rsid w:val="008D6ED9"/>
    <w:rsid w:val="008E307F"/>
    <w:rsid w:val="009473D9"/>
    <w:rsid w:val="009804D0"/>
    <w:rsid w:val="009850CA"/>
    <w:rsid w:val="00985C1F"/>
    <w:rsid w:val="009902E3"/>
    <w:rsid w:val="00A05044"/>
    <w:rsid w:val="00A11523"/>
    <w:rsid w:val="00A24C01"/>
    <w:rsid w:val="00A56116"/>
    <w:rsid w:val="00A64C86"/>
    <w:rsid w:val="00A8033F"/>
    <w:rsid w:val="00AB4CFF"/>
    <w:rsid w:val="00AB5524"/>
    <w:rsid w:val="00AC3DBD"/>
    <w:rsid w:val="00AD01E1"/>
    <w:rsid w:val="00AE268D"/>
    <w:rsid w:val="00AF2A3C"/>
    <w:rsid w:val="00B00A90"/>
    <w:rsid w:val="00B04392"/>
    <w:rsid w:val="00B27C3B"/>
    <w:rsid w:val="00B30DA5"/>
    <w:rsid w:val="00B32B49"/>
    <w:rsid w:val="00B54EAC"/>
    <w:rsid w:val="00B66F40"/>
    <w:rsid w:val="00B725B8"/>
    <w:rsid w:val="00BC4152"/>
    <w:rsid w:val="00C1200C"/>
    <w:rsid w:val="00C220BE"/>
    <w:rsid w:val="00C50555"/>
    <w:rsid w:val="00C649FD"/>
    <w:rsid w:val="00C81B9F"/>
    <w:rsid w:val="00C869F5"/>
    <w:rsid w:val="00C94F22"/>
    <w:rsid w:val="00CF3B78"/>
    <w:rsid w:val="00CF7B49"/>
    <w:rsid w:val="00D06181"/>
    <w:rsid w:val="00D333EE"/>
    <w:rsid w:val="00D459F0"/>
    <w:rsid w:val="00D513D6"/>
    <w:rsid w:val="00D60161"/>
    <w:rsid w:val="00D625DC"/>
    <w:rsid w:val="00DA3258"/>
    <w:rsid w:val="00DB5EF5"/>
    <w:rsid w:val="00DE43C5"/>
    <w:rsid w:val="00DF5F00"/>
    <w:rsid w:val="00DF6BBB"/>
    <w:rsid w:val="00E10A3C"/>
    <w:rsid w:val="00E20F63"/>
    <w:rsid w:val="00E52976"/>
    <w:rsid w:val="00E65FAA"/>
    <w:rsid w:val="00E938D5"/>
    <w:rsid w:val="00EA7DBE"/>
    <w:rsid w:val="00EB3623"/>
    <w:rsid w:val="00EE106F"/>
    <w:rsid w:val="00F03F40"/>
    <w:rsid w:val="00F16556"/>
    <w:rsid w:val="00F348A4"/>
    <w:rsid w:val="00F45E11"/>
    <w:rsid w:val="00F55B64"/>
    <w:rsid w:val="00F61AF2"/>
    <w:rsid w:val="00FC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rong-dom-ele">
    <w:name w:val="wrong-dom-ele"/>
    <w:basedOn w:val="a0"/>
    <w:rsid w:val="00DF5F00"/>
  </w:style>
  <w:style w:type="paragraph" w:styleId="a6">
    <w:name w:val="Balloon Text"/>
    <w:basedOn w:val="a"/>
    <w:link w:val="Char1"/>
    <w:uiPriority w:val="99"/>
    <w:semiHidden/>
    <w:unhideWhenUsed/>
    <w:rsid w:val="00DF5F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F00"/>
    <w:rPr>
      <w:sz w:val="18"/>
      <w:szCs w:val="18"/>
    </w:rPr>
  </w:style>
  <w:style w:type="table" w:styleId="a7">
    <w:name w:val="Table Grid"/>
    <w:basedOn w:val="a1"/>
    <w:uiPriority w:val="59"/>
    <w:rsid w:val="005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rsid w:val="0062381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62381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李晓英</dc:creator>
  <cp:lastModifiedBy>丁夏</cp:lastModifiedBy>
  <cp:revision>29</cp:revision>
  <cp:lastPrinted>2020-04-17T07:47:00Z</cp:lastPrinted>
  <dcterms:created xsi:type="dcterms:W3CDTF">2020-04-17T07:28:00Z</dcterms:created>
  <dcterms:modified xsi:type="dcterms:W3CDTF">2020-04-17T09:15:00Z</dcterms:modified>
</cp:coreProperties>
</file>