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CC" w:rsidRPr="00DB6537" w:rsidRDefault="00D740CC" w:rsidP="00D740CC">
      <w:pPr>
        <w:ind w:firstLineChars="0" w:firstLine="0"/>
        <w:rPr>
          <w:rFonts w:ascii="黑体" w:eastAsia="黑体" w:hAnsi="黑体"/>
        </w:rPr>
      </w:pPr>
      <w:r w:rsidRPr="00DB6537">
        <w:rPr>
          <w:rFonts w:ascii="黑体" w:eastAsia="黑体" w:hAnsi="黑体" w:hint="eastAsia"/>
        </w:rPr>
        <w:t>附</w:t>
      </w:r>
      <w:r>
        <w:rPr>
          <w:rFonts w:ascii="黑体" w:eastAsia="黑体" w:hAnsi="黑体" w:hint="eastAsia"/>
        </w:rPr>
        <w:t>件2</w:t>
      </w:r>
      <w:r w:rsidRPr="00DB6537">
        <w:rPr>
          <w:rFonts w:ascii="黑体" w:eastAsia="黑体" w:hAnsi="黑体" w:hint="eastAsia"/>
        </w:rPr>
        <w:t>：中国地质调查局非常规油气地质重点实验室201</w:t>
      </w:r>
      <w:r>
        <w:rPr>
          <w:rFonts w:ascii="黑体" w:eastAsia="黑体" w:hAnsi="黑体"/>
        </w:rPr>
        <w:t>8</w:t>
      </w:r>
      <w:r w:rsidRPr="00DB6537">
        <w:rPr>
          <w:rFonts w:ascii="黑体" w:eastAsia="黑体" w:hAnsi="黑体" w:hint="eastAsia"/>
        </w:rPr>
        <w:t>年开放基金项目</w:t>
      </w:r>
      <w:r>
        <w:rPr>
          <w:rFonts w:ascii="黑体" w:eastAsia="黑体" w:hAnsi="黑体" w:hint="eastAsia"/>
        </w:rPr>
        <w:t>指南</w:t>
      </w:r>
    </w:p>
    <w:tbl>
      <w:tblPr>
        <w:tblStyle w:val="a3"/>
        <w:tblW w:w="5000" w:type="pct"/>
        <w:tblLook w:val="04A0" w:firstRow="1" w:lastRow="0" w:firstColumn="1" w:lastColumn="0" w:noHBand="0" w:noVBand="1"/>
      </w:tblPr>
      <w:tblGrid>
        <w:gridCol w:w="686"/>
        <w:gridCol w:w="2058"/>
        <w:gridCol w:w="8125"/>
        <w:gridCol w:w="3305"/>
      </w:tblGrid>
      <w:tr w:rsidR="00D740CC" w:rsidTr="00925CF5">
        <w:trPr>
          <w:trHeight w:val="541"/>
          <w:tblHeader/>
        </w:trPr>
        <w:tc>
          <w:tcPr>
            <w:tcW w:w="242" w:type="pct"/>
            <w:vAlign w:val="center"/>
          </w:tcPr>
          <w:p w:rsidR="00D740CC" w:rsidRPr="00CF6613" w:rsidRDefault="00D740CC" w:rsidP="00925CF5">
            <w:pPr>
              <w:ind w:firstLineChars="0" w:firstLine="0"/>
              <w:jc w:val="center"/>
              <w:rPr>
                <w:rFonts w:ascii="黑体" w:eastAsia="黑体" w:hAnsi="黑体"/>
                <w:sz w:val="22"/>
              </w:rPr>
            </w:pPr>
            <w:r w:rsidRPr="00CF6613">
              <w:rPr>
                <w:rFonts w:ascii="黑体" w:eastAsia="黑体" w:hAnsi="黑体" w:hint="eastAsia"/>
                <w:sz w:val="22"/>
              </w:rPr>
              <w:t>序号</w:t>
            </w:r>
          </w:p>
        </w:tc>
        <w:tc>
          <w:tcPr>
            <w:tcW w:w="726" w:type="pct"/>
            <w:vAlign w:val="center"/>
          </w:tcPr>
          <w:p w:rsidR="00D740CC" w:rsidRPr="00CF6613" w:rsidRDefault="00D740CC" w:rsidP="00925CF5">
            <w:pPr>
              <w:ind w:firstLineChars="0" w:firstLine="0"/>
              <w:jc w:val="center"/>
              <w:rPr>
                <w:rFonts w:ascii="黑体" w:eastAsia="黑体" w:hAnsi="黑体"/>
                <w:sz w:val="22"/>
              </w:rPr>
            </w:pPr>
            <w:r w:rsidRPr="00CF6613">
              <w:rPr>
                <w:rFonts w:ascii="黑体" w:eastAsia="黑体" w:hAnsi="黑体" w:hint="eastAsia"/>
                <w:sz w:val="22"/>
              </w:rPr>
              <w:t>题目</w:t>
            </w:r>
          </w:p>
        </w:tc>
        <w:tc>
          <w:tcPr>
            <w:tcW w:w="2866" w:type="pct"/>
            <w:vAlign w:val="center"/>
          </w:tcPr>
          <w:p w:rsidR="00D740CC" w:rsidRDefault="00D740CC" w:rsidP="00925CF5">
            <w:pPr>
              <w:ind w:firstLineChars="0" w:firstLine="0"/>
              <w:jc w:val="center"/>
              <w:rPr>
                <w:rFonts w:ascii="黑体" w:eastAsia="黑体" w:hAnsi="黑体"/>
                <w:sz w:val="22"/>
              </w:rPr>
            </w:pPr>
            <w:r>
              <w:rPr>
                <w:rFonts w:ascii="黑体" w:eastAsia="黑体" w:hAnsi="黑体" w:hint="eastAsia"/>
                <w:sz w:val="22"/>
              </w:rPr>
              <w:t>研究内容</w:t>
            </w:r>
          </w:p>
        </w:tc>
        <w:tc>
          <w:tcPr>
            <w:tcW w:w="1166" w:type="pct"/>
            <w:vAlign w:val="center"/>
          </w:tcPr>
          <w:p w:rsidR="00D740CC" w:rsidRDefault="00D740CC" w:rsidP="00925CF5">
            <w:pPr>
              <w:ind w:firstLineChars="0" w:firstLine="0"/>
              <w:jc w:val="center"/>
              <w:rPr>
                <w:rFonts w:ascii="黑体" w:eastAsia="黑体" w:hAnsi="黑体"/>
                <w:sz w:val="22"/>
              </w:rPr>
            </w:pPr>
            <w:r>
              <w:rPr>
                <w:rFonts w:ascii="黑体" w:eastAsia="黑体" w:hAnsi="黑体" w:hint="eastAsia"/>
                <w:sz w:val="22"/>
              </w:rPr>
              <w:t>预期成果</w:t>
            </w:r>
          </w:p>
        </w:tc>
      </w:tr>
      <w:tr w:rsidR="00D740CC" w:rsidTr="00925CF5">
        <w:tc>
          <w:tcPr>
            <w:tcW w:w="242" w:type="pct"/>
            <w:vAlign w:val="center"/>
          </w:tcPr>
          <w:p w:rsidR="00D740CC" w:rsidRPr="007205F5" w:rsidRDefault="00D740CC" w:rsidP="00925CF5">
            <w:pPr>
              <w:spacing w:line="240" w:lineRule="auto"/>
              <w:ind w:firstLineChars="0" w:firstLine="0"/>
              <w:jc w:val="center"/>
              <w:rPr>
                <w:sz w:val="22"/>
              </w:rPr>
            </w:pPr>
            <w:r>
              <w:rPr>
                <w:rFonts w:hint="eastAsia"/>
                <w:sz w:val="22"/>
              </w:rPr>
              <w:t>1</w:t>
            </w:r>
          </w:p>
        </w:tc>
        <w:tc>
          <w:tcPr>
            <w:tcW w:w="726" w:type="pct"/>
            <w:vAlign w:val="center"/>
          </w:tcPr>
          <w:p w:rsidR="00D740CC" w:rsidRPr="007205F5" w:rsidRDefault="00D740CC" w:rsidP="00925CF5">
            <w:pPr>
              <w:spacing w:line="240" w:lineRule="auto"/>
              <w:ind w:firstLineChars="0" w:firstLine="0"/>
              <w:rPr>
                <w:sz w:val="22"/>
              </w:rPr>
            </w:pPr>
            <w:r w:rsidRPr="00A719EA">
              <w:rPr>
                <w:rFonts w:hint="eastAsia"/>
                <w:sz w:val="22"/>
              </w:rPr>
              <w:t>海陆过渡相页岩气储层非均质性研究</w:t>
            </w:r>
          </w:p>
        </w:tc>
        <w:tc>
          <w:tcPr>
            <w:tcW w:w="2866" w:type="pct"/>
            <w:vAlign w:val="center"/>
          </w:tcPr>
          <w:p w:rsidR="00D740CC" w:rsidRPr="007205F5" w:rsidRDefault="00D740CC" w:rsidP="00925CF5">
            <w:pPr>
              <w:spacing w:line="240" w:lineRule="auto"/>
              <w:ind w:firstLineChars="0" w:firstLine="0"/>
              <w:jc w:val="left"/>
              <w:rPr>
                <w:sz w:val="22"/>
              </w:rPr>
            </w:pPr>
            <w:r w:rsidRPr="00A719EA">
              <w:rPr>
                <w:rFonts w:hint="eastAsia"/>
                <w:sz w:val="22"/>
              </w:rPr>
              <w:t>以南华北盆地石炭</w:t>
            </w:r>
            <w:r w:rsidRPr="00A719EA">
              <w:rPr>
                <w:rFonts w:hint="eastAsia"/>
                <w:sz w:val="22"/>
              </w:rPr>
              <w:t>-</w:t>
            </w:r>
            <w:r w:rsidRPr="00A719EA">
              <w:rPr>
                <w:rFonts w:hint="eastAsia"/>
                <w:sz w:val="22"/>
              </w:rPr>
              <w:t>二叠系为对象，围绕富有机质页岩形成与分布，探讨页岩非均质性参数，摸清非均质性变化规律，建立海陆过渡相页岩气储层非均质性的综合表征方法与评价模型。</w:t>
            </w:r>
          </w:p>
        </w:tc>
        <w:tc>
          <w:tcPr>
            <w:tcW w:w="1166" w:type="pct"/>
            <w:vAlign w:val="center"/>
          </w:tcPr>
          <w:p w:rsidR="00D740CC" w:rsidRPr="00071536" w:rsidRDefault="00D740CC" w:rsidP="00925CF5">
            <w:pPr>
              <w:spacing w:line="240" w:lineRule="auto"/>
              <w:ind w:firstLineChars="0" w:firstLine="0"/>
              <w:jc w:val="left"/>
              <w:rPr>
                <w:sz w:val="22"/>
              </w:rPr>
            </w:pPr>
            <w:r w:rsidRPr="00071536">
              <w:rPr>
                <w:rFonts w:hint="eastAsia"/>
                <w:sz w:val="22"/>
              </w:rPr>
              <w:t>1</w:t>
            </w:r>
            <w:r>
              <w:rPr>
                <w:rFonts w:hint="eastAsia"/>
                <w:sz w:val="22"/>
              </w:rPr>
              <w:t>）结题</w:t>
            </w:r>
            <w:r w:rsidRPr="00071536">
              <w:rPr>
                <w:rFonts w:hint="eastAsia"/>
                <w:sz w:val="22"/>
              </w:rPr>
              <w:t>报告</w:t>
            </w:r>
            <w:r>
              <w:rPr>
                <w:rFonts w:hint="eastAsia"/>
                <w:sz w:val="22"/>
              </w:rPr>
              <w:t>及相关测试</w:t>
            </w:r>
            <w:r>
              <w:rPr>
                <w:sz w:val="22"/>
              </w:rPr>
              <w:t>数据</w:t>
            </w:r>
            <w:r w:rsidRPr="00071536">
              <w:rPr>
                <w:rFonts w:hint="eastAsia"/>
                <w:sz w:val="22"/>
              </w:rPr>
              <w:t>1</w:t>
            </w:r>
            <w:r w:rsidRPr="00071536">
              <w:rPr>
                <w:rFonts w:hint="eastAsia"/>
                <w:sz w:val="22"/>
              </w:rPr>
              <w:t>份；</w:t>
            </w:r>
          </w:p>
          <w:p w:rsidR="00D740CC" w:rsidRPr="007205F5" w:rsidRDefault="00D740CC" w:rsidP="00925CF5">
            <w:pPr>
              <w:spacing w:line="240" w:lineRule="auto"/>
              <w:ind w:firstLineChars="0" w:firstLine="0"/>
              <w:jc w:val="left"/>
              <w:rPr>
                <w:sz w:val="22"/>
              </w:rPr>
            </w:pPr>
            <w:r>
              <w:rPr>
                <w:rFonts w:hint="eastAsia"/>
                <w:sz w:val="22"/>
              </w:rPr>
              <w:t>2</w:t>
            </w:r>
            <w:r>
              <w:rPr>
                <w:rFonts w:hint="eastAsia"/>
                <w:sz w:val="22"/>
              </w:rPr>
              <w:t>）</w:t>
            </w:r>
            <w:r w:rsidRPr="00071536">
              <w:rPr>
                <w:rFonts w:hint="eastAsia"/>
                <w:sz w:val="22"/>
              </w:rPr>
              <w:t>发表</w:t>
            </w:r>
            <w:r w:rsidRPr="00071536">
              <w:rPr>
                <w:rFonts w:hint="eastAsia"/>
                <w:sz w:val="22"/>
              </w:rPr>
              <w:t>SCI</w:t>
            </w:r>
            <w:r w:rsidRPr="00071536">
              <w:rPr>
                <w:rFonts w:hint="eastAsia"/>
                <w:sz w:val="22"/>
              </w:rPr>
              <w:t>论文</w:t>
            </w:r>
            <w:r>
              <w:rPr>
                <w:sz w:val="22"/>
              </w:rPr>
              <w:t>1-2</w:t>
            </w:r>
            <w:r>
              <w:rPr>
                <w:rFonts w:hint="eastAsia"/>
                <w:sz w:val="22"/>
              </w:rPr>
              <w:t>篇或者发明</w:t>
            </w:r>
            <w:r>
              <w:rPr>
                <w:sz w:val="22"/>
              </w:rPr>
              <w:t>专利</w:t>
            </w:r>
            <w:r>
              <w:rPr>
                <w:rFonts w:hint="eastAsia"/>
                <w:sz w:val="22"/>
              </w:rPr>
              <w:t>1</w:t>
            </w:r>
            <w:r>
              <w:rPr>
                <w:sz w:val="22"/>
              </w:rPr>
              <w:t>-2</w:t>
            </w:r>
            <w:r>
              <w:rPr>
                <w:rFonts w:hint="eastAsia"/>
                <w:sz w:val="22"/>
              </w:rPr>
              <w:t>项。</w:t>
            </w:r>
          </w:p>
        </w:tc>
      </w:tr>
      <w:tr w:rsidR="00D740CC" w:rsidTr="00925CF5">
        <w:tc>
          <w:tcPr>
            <w:tcW w:w="242" w:type="pct"/>
            <w:vAlign w:val="center"/>
          </w:tcPr>
          <w:p w:rsidR="00D740CC" w:rsidRPr="007205F5" w:rsidRDefault="00D740CC" w:rsidP="00925CF5">
            <w:pPr>
              <w:spacing w:line="240" w:lineRule="auto"/>
              <w:ind w:firstLineChars="0" w:firstLine="0"/>
              <w:jc w:val="center"/>
              <w:rPr>
                <w:sz w:val="22"/>
              </w:rPr>
            </w:pPr>
            <w:r>
              <w:rPr>
                <w:rFonts w:hint="eastAsia"/>
                <w:sz w:val="22"/>
              </w:rPr>
              <w:t>2</w:t>
            </w:r>
          </w:p>
        </w:tc>
        <w:tc>
          <w:tcPr>
            <w:tcW w:w="726" w:type="pct"/>
            <w:vAlign w:val="center"/>
          </w:tcPr>
          <w:p w:rsidR="00D740CC" w:rsidRPr="007205F5" w:rsidRDefault="00D740CC" w:rsidP="00925CF5">
            <w:pPr>
              <w:spacing w:line="240" w:lineRule="auto"/>
              <w:ind w:firstLineChars="0" w:firstLine="0"/>
              <w:rPr>
                <w:sz w:val="22"/>
              </w:rPr>
            </w:pPr>
            <w:r w:rsidRPr="00A719EA">
              <w:rPr>
                <w:rFonts w:hint="eastAsia"/>
                <w:sz w:val="22"/>
              </w:rPr>
              <w:t>华南五峰</w:t>
            </w:r>
            <w:r w:rsidRPr="00A719EA">
              <w:rPr>
                <w:rFonts w:hint="eastAsia"/>
                <w:sz w:val="22"/>
              </w:rPr>
              <w:t>-</w:t>
            </w:r>
            <w:r w:rsidRPr="00A719EA">
              <w:rPr>
                <w:rFonts w:hint="eastAsia"/>
                <w:sz w:val="22"/>
              </w:rPr>
              <w:t>龙马溪组黑色页岩高有机质层段的生物地层对比</w:t>
            </w:r>
          </w:p>
        </w:tc>
        <w:tc>
          <w:tcPr>
            <w:tcW w:w="2866" w:type="pct"/>
            <w:vAlign w:val="center"/>
          </w:tcPr>
          <w:p w:rsidR="00D740CC" w:rsidRPr="007205F5" w:rsidRDefault="00D740CC" w:rsidP="00925CF5">
            <w:pPr>
              <w:spacing w:line="240" w:lineRule="auto"/>
              <w:ind w:firstLineChars="0" w:firstLine="0"/>
              <w:jc w:val="left"/>
              <w:rPr>
                <w:sz w:val="22"/>
              </w:rPr>
            </w:pPr>
            <w:r w:rsidRPr="00A719EA">
              <w:rPr>
                <w:rFonts w:hint="eastAsia"/>
                <w:sz w:val="22"/>
              </w:rPr>
              <w:t>结合文献资料及野外实际剖面采集和室内化石鉴定工作，识别华南各主要地区五峰组、龙马溪组黑色页岩笔石带划分；通过厚度对比，建立覆盖区钻井资料中有机质丰度数据与露头区剖面生物地</w:t>
            </w:r>
            <w:bookmarkStart w:id="0" w:name="_GoBack"/>
            <w:bookmarkEnd w:id="0"/>
            <w:r w:rsidRPr="00A719EA">
              <w:rPr>
                <w:rFonts w:hint="eastAsia"/>
                <w:sz w:val="22"/>
              </w:rPr>
              <w:t>层划分之间的联系，识别高有机质层段的层位。在统一的地层框架下，针对不同地区各个笔石带，研究和分析五峰组、龙马溪组黑色页岩有机质分布型式和规律。</w:t>
            </w:r>
          </w:p>
        </w:tc>
        <w:tc>
          <w:tcPr>
            <w:tcW w:w="1166" w:type="pct"/>
            <w:vAlign w:val="center"/>
          </w:tcPr>
          <w:p w:rsidR="00D740CC" w:rsidRPr="00071536" w:rsidRDefault="00D740CC" w:rsidP="00925CF5">
            <w:pPr>
              <w:spacing w:line="240" w:lineRule="auto"/>
              <w:ind w:firstLineChars="0" w:firstLine="0"/>
              <w:jc w:val="left"/>
              <w:rPr>
                <w:sz w:val="22"/>
              </w:rPr>
            </w:pPr>
            <w:r w:rsidRPr="00071536">
              <w:rPr>
                <w:rFonts w:hint="eastAsia"/>
                <w:sz w:val="22"/>
              </w:rPr>
              <w:t>1</w:t>
            </w:r>
            <w:r>
              <w:rPr>
                <w:rFonts w:hint="eastAsia"/>
                <w:sz w:val="22"/>
              </w:rPr>
              <w:t>）结题</w:t>
            </w:r>
            <w:r w:rsidRPr="00071536">
              <w:rPr>
                <w:rFonts w:hint="eastAsia"/>
                <w:sz w:val="22"/>
              </w:rPr>
              <w:t>报告</w:t>
            </w:r>
            <w:r>
              <w:rPr>
                <w:rFonts w:hint="eastAsia"/>
                <w:sz w:val="22"/>
              </w:rPr>
              <w:t>及相关测试</w:t>
            </w:r>
            <w:r>
              <w:rPr>
                <w:sz w:val="22"/>
              </w:rPr>
              <w:t>数据</w:t>
            </w:r>
            <w:r w:rsidRPr="00071536">
              <w:rPr>
                <w:rFonts w:hint="eastAsia"/>
                <w:sz w:val="22"/>
              </w:rPr>
              <w:t>1</w:t>
            </w:r>
            <w:r w:rsidRPr="00071536">
              <w:rPr>
                <w:rFonts w:hint="eastAsia"/>
                <w:sz w:val="22"/>
              </w:rPr>
              <w:t>份；</w:t>
            </w:r>
          </w:p>
          <w:p w:rsidR="00D740CC" w:rsidRPr="007205F5" w:rsidRDefault="00D740CC" w:rsidP="00925CF5">
            <w:pPr>
              <w:spacing w:line="240" w:lineRule="auto"/>
              <w:ind w:firstLineChars="0" w:firstLine="0"/>
              <w:jc w:val="left"/>
              <w:rPr>
                <w:sz w:val="22"/>
              </w:rPr>
            </w:pPr>
            <w:r>
              <w:rPr>
                <w:rFonts w:hint="eastAsia"/>
                <w:sz w:val="22"/>
              </w:rPr>
              <w:t>2</w:t>
            </w:r>
            <w:r>
              <w:rPr>
                <w:rFonts w:hint="eastAsia"/>
                <w:sz w:val="22"/>
              </w:rPr>
              <w:t>）</w:t>
            </w:r>
            <w:r w:rsidRPr="00071536">
              <w:rPr>
                <w:rFonts w:hint="eastAsia"/>
                <w:sz w:val="22"/>
              </w:rPr>
              <w:t>发表</w:t>
            </w:r>
            <w:r w:rsidRPr="00071536">
              <w:rPr>
                <w:rFonts w:hint="eastAsia"/>
                <w:sz w:val="22"/>
              </w:rPr>
              <w:t>SCI</w:t>
            </w:r>
            <w:r w:rsidRPr="00071536">
              <w:rPr>
                <w:rFonts w:hint="eastAsia"/>
                <w:sz w:val="22"/>
              </w:rPr>
              <w:t>论文</w:t>
            </w:r>
            <w:r>
              <w:rPr>
                <w:sz w:val="22"/>
              </w:rPr>
              <w:t>1-2</w:t>
            </w:r>
            <w:r>
              <w:rPr>
                <w:rFonts w:hint="eastAsia"/>
                <w:sz w:val="22"/>
              </w:rPr>
              <w:t>篇或者发明</w:t>
            </w:r>
            <w:r>
              <w:rPr>
                <w:sz w:val="22"/>
              </w:rPr>
              <w:t>专利</w:t>
            </w:r>
            <w:r>
              <w:rPr>
                <w:rFonts w:hint="eastAsia"/>
                <w:sz w:val="22"/>
              </w:rPr>
              <w:t>1</w:t>
            </w:r>
            <w:r>
              <w:rPr>
                <w:sz w:val="22"/>
              </w:rPr>
              <w:t>-2</w:t>
            </w:r>
            <w:r>
              <w:rPr>
                <w:rFonts w:hint="eastAsia"/>
                <w:sz w:val="22"/>
              </w:rPr>
              <w:t>项。</w:t>
            </w:r>
          </w:p>
        </w:tc>
      </w:tr>
      <w:tr w:rsidR="00D740CC" w:rsidTr="00925CF5">
        <w:tc>
          <w:tcPr>
            <w:tcW w:w="242" w:type="pct"/>
            <w:vAlign w:val="center"/>
          </w:tcPr>
          <w:p w:rsidR="00D740CC" w:rsidRPr="007205F5" w:rsidRDefault="00D740CC" w:rsidP="00925CF5">
            <w:pPr>
              <w:spacing w:line="240" w:lineRule="auto"/>
              <w:ind w:firstLineChars="0" w:firstLine="0"/>
              <w:jc w:val="center"/>
              <w:rPr>
                <w:sz w:val="22"/>
              </w:rPr>
            </w:pPr>
            <w:r>
              <w:rPr>
                <w:rFonts w:hint="eastAsia"/>
                <w:sz w:val="22"/>
              </w:rPr>
              <w:t>3</w:t>
            </w:r>
          </w:p>
        </w:tc>
        <w:tc>
          <w:tcPr>
            <w:tcW w:w="726" w:type="pct"/>
            <w:vAlign w:val="center"/>
          </w:tcPr>
          <w:p w:rsidR="00D740CC" w:rsidRPr="007205F5" w:rsidRDefault="00D740CC" w:rsidP="00525FAC">
            <w:pPr>
              <w:spacing w:line="240" w:lineRule="auto"/>
              <w:ind w:firstLineChars="0" w:firstLine="0"/>
              <w:rPr>
                <w:sz w:val="22"/>
              </w:rPr>
            </w:pPr>
            <w:r w:rsidRPr="00A719EA">
              <w:rPr>
                <w:rFonts w:hint="eastAsia"/>
                <w:sz w:val="22"/>
              </w:rPr>
              <w:t>QEMSCAN</w:t>
            </w:r>
            <w:r w:rsidRPr="00A719EA">
              <w:rPr>
                <w:rFonts w:hint="eastAsia"/>
                <w:sz w:val="22"/>
              </w:rPr>
              <w:t>技术应用研究</w:t>
            </w:r>
          </w:p>
        </w:tc>
        <w:tc>
          <w:tcPr>
            <w:tcW w:w="2866" w:type="pct"/>
            <w:vAlign w:val="center"/>
          </w:tcPr>
          <w:p w:rsidR="00D740CC" w:rsidRPr="007205F5" w:rsidRDefault="00D740CC" w:rsidP="00925CF5">
            <w:pPr>
              <w:spacing w:line="240" w:lineRule="auto"/>
              <w:ind w:firstLineChars="0" w:firstLine="0"/>
              <w:jc w:val="left"/>
              <w:rPr>
                <w:sz w:val="22"/>
              </w:rPr>
            </w:pPr>
            <w:r w:rsidRPr="00A719EA">
              <w:rPr>
                <w:rFonts w:hint="eastAsia"/>
                <w:sz w:val="22"/>
              </w:rPr>
              <w:t>QEMSCAN</w:t>
            </w:r>
            <w:r w:rsidRPr="00A719EA">
              <w:rPr>
                <w:rFonts w:hint="eastAsia"/>
                <w:sz w:val="22"/>
              </w:rPr>
              <w:t>系统的技术优化，通过技术培训、国内外技术调研实现；矿物、岩性分析准确性研究，结合光学、</w:t>
            </w:r>
            <w:r w:rsidRPr="00A719EA">
              <w:rPr>
                <w:rFonts w:hint="eastAsia"/>
                <w:sz w:val="22"/>
              </w:rPr>
              <w:t>X</w:t>
            </w:r>
            <w:r w:rsidRPr="00A719EA">
              <w:rPr>
                <w:rFonts w:hint="eastAsia"/>
                <w:sz w:val="22"/>
              </w:rPr>
              <w:t>射线衍射等技术，消除由于数据多解性带来的成果偏差；孔隙微观特征分析，包括孔隙类型、孔隙尺度、孔隙成因等。</w:t>
            </w:r>
          </w:p>
        </w:tc>
        <w:tc>
          <w:tcPr>
            <w:tcW w:w="1166" w:type="pct"/>
            <w:vAlign w:val="center"/>
          </w:tcPr>
          <w:p w:rsidR="00D740CC" w:rsidRPr="00071536" w:rsidRDefault="00D740CC" w:rsidP="00925CF5">
            <w:pPr>
              <w:spacing w:line="240" w:lineRule="auto"/>
              <w:ind w:firstLineChars="0" w:firstLine="0"/>
              <w:jc w:val="left"/>
              <w:rPr>
                <w:sz w:val="22"/>
              </w:rPr>
            </w:pPr>
            <w:r w:rsidRPr="00071536">
              <w:rPr>
                <w:rFonts w:hint="eastAsia"/>
                <w:sz w:val="22"/>
              </w:rPr>
              <w:t>1</w:t>
            </w:r>
            <w:r>
              <w:rPr>
                <w:rFonts w:hint="eastAsia"/>
                <w:sz w:val="22"/>
              </w:rPr>
              <w:t>）结题</w:t>
            </w:r>
            <w:r w:rsidRPr="00071536">
              <w:rPr>
                <w:rFonts w:hint="eastAsia"/>
                <w:sz w:val="22"/>
              </w:rPr>
              <w:t>报告</w:t>
            </w:r>
            <w:r>
              <w:rPr>
                <w:rFonts w:hint="eastAsia"/>
                <w:sz w:val="22"/>
              </w:rPr>
              <w:t>及相关测试</w:t>
            </w:r>
            <w:r>
              <w:rPr>
                <w:sz w:val="22"/>
              </w:rPr>
              <w:t>数据</w:t>
            </w:r>
            <w:r w:rsidRPr="00071536">
              <w:rPr>
                <w:rFonts w:hint="eastAsia"/>
                <w:sz w:val="22"/>
              </w:rPr>
              <w:t>1</w:t>
            </w:r>
            <w:r w:rsidRPr="00071536">
              <w:rPr>
                <w:rFonts w:hint="eastAsia"/>
                <w:sz w:val="22"/>
              </w:rPr>
              <w:t>份；</w:t>
            </w:r>
          </w:p>
          <w:p w:rsidR="00D740CC" w:rsidRPr="007205F5" w:rsidRDefault="00D740CC" w:rsidP="00925CF5">
            <w:pPr>
              <w:spacing w:line="240" w:lineRule="auto"/>
              <w:ind w:firstLineChars="0" w:firstLine="0"/>
              <w:jc w:val="left"/>
              <w:rPr>
                <w:sz w:val="22"/>
              </w:rPr>
            </w:pPr>
            <w:r>
              <w:rPr>
                <w:rFonts w:hint="eastAsia"/>
                <w:sz w:val="22"/>
              </w:rPr>
              <w:t>2</w:t>
            </w:r>
            <w:r>
              <w:rPr>
                <w:rFonts w:hint="eastAsia"/>
                <w:sz w:val="22"/>
              </w:rPr>
              <w:t>）</w:t>
            </w:r>
            <w:r w:rsidRPr="00071536">
              <w:rPr>
                <w:rFonts w:hint="eastAsia"/>
                <w:sz w:val="22"/>
              </w:rPr>
              <w:t>发表</w:t>
            </w:r>
            <w:r w:rsidRPr="00071536">
              <w:rPr>
                <w:rFonts w:hint="eastAsia"/>
                <w:sz w:val="22"/>
              </w:rPr>
              <w:t>SCI</w:t>
            </w:r>
            <w:r w:rsidRPr="00071536">
              <w:rPr>
                <w:rFonts w:hint="eastAsia"/>
                <w:sz w:val="22"/>
              </w:rPr>
              <w:t>论文</w:t>
            </w:r>
            <w:r>
              <w:rPr>
                <w:sz w:val="22"/>
              </w:rPr>
              <w:t>1-2</w:t>
            </w:r>
            <w:r>
              <w:rPr>
                <w:rFonts w:hint="eastAsia"/>
                <w:sz w:val="22"/>
              </w:rPr>
              <w:t>篇或者发明</w:t>
            </w:r>
            <w:r>
              <w:rPr>
                <w:sz w:val="22"/>
              </w:rPr>
              <w:t>专利</w:t>
            </w:r>
            <w:r>
              <w:rPr>
                <w:rFonts w:hint="eastAsia"/>
                <w:sz w:val="22"/>
              </w:rPr>
              <w:t>1</w:t>
            </w:r>
            <w:r>
              <w:rPr>
                <w:sz w:val="22"/>
              </w:rPr>
              <w:t>-2</w:t>
            </w:r>
            <w:r>
              <w:rPr>
                <w:rFonts w:hint="eastAsia"/>
                <w:sz w:val="22"/>
              </w:rPr>
              <w:t>项。</w:t>
            </w:r>
          </w:p>
        </w:tc>
      </w:tr>
      <w:tr w:rsidR="00D740CC" w:rsidTr="00925CF5">
        <w:tc>
          <w:tcPr>
            <w:tcW w:w="242" w:type="pct"/>
            <w:vAlign w:val="center"/>
          </w:tcPr>
          <w:p w:rsidR="00D740CC" w:rsidRDefault="00D740CC" w:rsidP="00925CF5">
            <w:pPr>
              <w:spacing w:line="240" w:lineRule="auto"/>
              <w:ind w:firstLineChars="0" w:firstLine="0"/>
              <w:jc w:val="center"/>
              <w:rPr>
                <w:sz w:val="22"/>
              </w:rPr>
            </w:pPr>
            <w:r>
              <w:rPr>
                <w:sz w:val="22"/>
              </w:rPr>
              <w:t>4</w:t>
            </w:r>
          </w:p>
        </w:tc>
        <w:tc>
          <w:tcPr>
            <w:tcW w:w="726" w:type="pct"/>
            <w:vAlign w:val="center"/>
          </w:tcPr>
          <w:p w:rsidR="00D740CC" w:rsidRPr="007205F5" w:rsidRDefault="00D740CC" w:rsidP="00925CF5">
            <w:pPr>
              <w:spacing w:line="240" w:lineRule="auto"/>
              <w:ind w:firstLineChars="0" w:firstLine="0"/>
              <w:rPr>
                <w:sz w:val="22"/>
              </w:rPr>
            </w:pPr>
            <w:r w:rsidRPr="00A719EA">
              <w:rPr>
                <w:rFonts w:hint="eastAsia"/>
                <w:sz w:val="22"/>
              </w:rPr>
              <w:t>富有机质页岩岩芯电性参数实验室测试与分析</w:t>
            </w:r>
          </w:p>
        </w:tc>
        <w:tc>
          <w:tcPr>
            <w:tcW w:w="2866" w:type="pct"/>
            <w:vAlign w:val="center"/>
          </w:tcPr>
          <w:p w:rsidR="00D740CC" w:rsidRPr="00BE6D3F" w:rsidRDefault="00D740CC" w:rsidP="00925CF5">
            <w:pPr>
              <w:spacing w:line="240" w:lineRule="auto"/>
              <w:ind w:firstLineChars="0" w:firstLine="0"/>
              <w:jc w:val="left"/>
              <w:rPr>
                <w:sz w:val="22"/>
              </w:rPr>
            </w:pPr>
            <w:r w:rsidRPr="00A719EA">
              <w:rPr>
                <w:rFonts w:hint="eastAsia"/>
                <w:sz w:val="22"/>
              </w:rPr>
              <w:t>在富有机质页岩区采集各页岩层系岩石样本，开展页岩岩石电性参数测试（电阻率、极化率、频率相关系数，时间常数等），分别获得其时间和频率特性数据，分析不同页岩岩性之间的电性差异；重点统计分析页岩电性参数与总有机碳之间的相关关系，电性参数与粘土矿物（或脆性矿物）以及与其它常规物性参数之间的相关关系，为利用相应参数及其组合预测页岩区总有机碳含量分布以及电磁勘探提供基础数</w:t>
            </w:r>
            <w:r w:rsidRPr="00A719EA">
              <w:rPr>
                <w:rFonts w:hint="eastAsia"/>
                <w:sz w:val="22"/>
              </w:rPr>
              <w:lastRenderedPageBreak/>
              <w:t>据。</w:t>
            </w:r>
          </w:p>
        </w:tc>
        <w:tc>
          <w:tcPr>
            <w:tcW w:w="1166" w:type="pct"/>
            <w:vAlign w:val="center"/>
          </w:tcPr>
          <w:p w:rsidR="00D740CC" w:rsidRPr="00071536" w:rsidRDefault="00D740CC" w:rsidP="00925CF5">
            <w:pPr>
              <w:spacing w:line="240" w:lineRule="auto"/>
              <w:ind w:firstLineChars="0" w:firstLine="0"/>
              <w:jc w:val="left"/>
              <w:rPr>
                <w:sz w:val="22"/>
              </w:rPr>
            </w:pPr>
            <w:r w:rsidRPr="00071536">
              <w:rPr>
                <w:rFonts w:hint="eastAsia"/>
                <w:sz w:val="22"/>
              </w:rPr>
              <w:lastRenderedPageBreak/>
              <w:t>1</w:t>
            </w:r>
            <w:r>
              <w:rPr>
                <w:rFonts w:hint="eastAsia"/>
                <w:sz w:val="22"/>
              </w:rPr>
              <w:t>）结题</w:t>
            </w:r>
            <w:r w:rsidRPr="00071536">
              <w:rPr>
                <w:rFonts w:hint="eastAsia"/>
                <w:sz w:val="22"/>
              </w:rPr>
              <w:t>报告</w:t>
            </w:r>
            <w:r>
              <w:rPr>
                <w:rFonts w:hint="eastAsia"/>
                <w:sz w:val="22"/>
              </w:rPr>
              <w:t>及相关测试</w:t>
            </w:r>
            <w:r>
              <w:rPr>
                <w:sz w:val="22"/>
              </w:rPr>
              <w:t>数据</w:t>
            </w:r>
            <w:r w:rsidRPr="00071536">
              <w:rPr>
                <w:rFonts w:hint="eastAsia"/>
                <w:sz w:val="22"/>
              </w:rPr>
              <w:t>1</w:t>
            </w:r>
            <w:r w:rsidRPr="00071536">
              <w:rPr>
                <w:rFonts w:hint="eastAsia"/>
                <w:sz w:val="22"/>
              </w:rPr>
              <w:t>份；</w:t>
            </w:r>
          </w:p>
          <w:p w:rsidR="00D740CC" w:rsidRPr="00BE6D3F" w:rsidRDefault="00D740CC" w:rsidP="00925CF5">
            <w:pPr>
              <w:spacing w:line="240" w:lineRule="auto"/>
              <w:ind w:firstLineChars="0" w:firstLine="0"/>
              <w:jc w:val="left"/>
              <w:rPr>
                <w:sz w:val="22"/>
              </w:rPr>
            </w:pPr>
            <w:r>
              <w:rPr>
                <w:rFonts w:hint="eastAsia"/>
                <w:sz w:val="22"/>
              </w:rPr>
              <w:t>2</w:t>
            </w:r>
            <w:r>
              <w:rPr>
                <w:rFonts w:hint="eastAsia"/>
                <w:sz w:val="22"/>
              </w:rPr>
              <w:t>）</w:t>
            </w:r>
            <w:r w:rsidRPr="00071536">
              <w:rPr>
                <w:rFonts w:hint="eastAsia"/>
                <w:sz w:val="22"/>
              </w:rPr>
              <w:t>发表</w:t>
            </w:r>
            <w:r w:rsidRPr="00071536">
              <w:rPr>
                <w:rFonts w:hint="eastAsia"/>
                <w:sz w:val="22"/>
              </w:rPr>
              <w:t>SCI</w:t>
            </w:r>
            <w:r w:rsidRPr="00071536">
              <w:rPr>
                <w:rFonts w:hint="eastAsia"/>
                <w:sz w:val="22"/>
              </w:rPr>
              <w:t>论文</w:t>
            </w:r>
            <w:r>
              <w:rPr>
                <w:sz w:val="22"/>
              </w:rPr>
              <w:t>1-2</w:t>
            </w:r>
            <w:r>
              <w:rPr>
                <w:rFonts w:hint="eastAsia"/>
                <w:sz w:val="22"/>
              </w:rPr>
              <w:t>篇或者发明</w:t>
            </w:r>
            <w:r>
              <w:rPr>
                <w:sz w:val="22"/>
              </w:rPr>
              <w:t>专利</w:t>
            </w:r>
            <w:r>
              <w:rPr>
                <w:rFonts w:hint="eastAsia"/>
                <w:sz w:val="22"/>
              </w:rPr>
              <w:t>1</w:t>
            </w:r>
            <w:r>
              <w:rPr>
                <w:sz w:val="22"/>
              </w:rPr>
              <w:t>-2</w:t>
            </w:r>
            <w:r>
              <w:rPr>
                <w:rFonts w:hint="eastAsia"/>
                <w:sz w:val="22"/>
              </w:rPr>
              <w:t>项。</w:t>
            </w:r>
          </w:p>
        </w:tc>
      </w:tr>
      <w:tr w:rsidR="00D740CC" w:rsidTr="00925CF5">
        <w:tc>
          <w:tcPr>
            <w:tcW w:w="242" w:type="pct"/>
            <w:vAlign w:val="center"/>
          </w:tcPr>
          <w:p w:rsidR="00D740CC" w:rsidRDefault="00D740CC" w:rsidP="00925CF5">
            <w:pPr>
              <w:spacing w:line="240" w:lineRule="auto"/>
              <w:ind w:firstLineChars="0" w:firstLine="0"/>
              <w:jc w:val="center"/>
              <w:rPr>
                <w:sz w:val="22"/>
              </w:rPr>
            </w:pPr>
            <w:r>
              <w:rPr>
                <w:rFonts w:hint="eastAsia"/>
                <w:sz w:val="22"/>
              </w:rPr>
              <w:lastRenderedPageBreak/>
              <w:t>5</w:t>
            </w:r>
          </w:p>
        </w:tc>
        <w:tc>
          <w:tcPr>
            <w:tcW w:w="726" w:type="pct"/>
            <w:vAlign w:val="center"/>
          </w:tcPr>
          <w:p w:rsidR="00D740CC" w:rsidRPr="007205F5" w:rsidRDefault="00D740CC" w:rsidP="00925CF5">
            <w:pPr>
              <w:spacing w:line="240" w:lineRule="auto"/>
              <w:ind w:firstLineChars="0" w:firstLine="0"/>
              <w:rPr>
                <w:sz w:val="22"/>
              </w:rPr>
            </w:pPr>
            <w:r w:rsidRPr="00A719EA">
              <w:rPr>
                <w:rFonts w:hint="eastAsia"/>
                <w:sz w:val="22"/>
              </w:rPr>
              <w:t>陆相泥页岩微观组构与热演化程度的耦合效应及对其储集性能的影响</w:t>
            </w:r>
          </w:p>
        </w:tc>
        <w:tc>
          <w:tcPr>
            <w:tcW w:w="2866" w:type="pct"/>
            <w:vAlign w:val="center"/>
          </w:tcPr>
          <w:p w:rsidR="00D740CC" w:rsidRPr="004D3BFC" w:rsidRDefault="00D740CC" w:rsidP="00925CF5">
            <w:pPr>
              <w:spacing w:line="240" w:lineRule="auto"/>
              <w:ind w:firstLineChars="0" w:firstLine="0"/>
              <w:jc w:val="left"/>
              <w:rPr>
                <w:sz w:val="22"/>
              </w:rPr>
            </w:pPr>
            <w:r w:rsidRPr="00A719EA">
              <w:rPr>
                <w:rFonts w:hint="eastAsia"/>
                <w:sz w:val="22"/>
              </w:rPr>
              <w:t>揭示不同演化条件下泥页岩微观组分的变化及这一变化导致的微观孔隙结构的变化，进而阐明不同演化阶段泥页岩主要的储集空间类型差异及储集性能变化。项目的研究将深化泥页岩储集机理研究，并为泥页岩储集条件的评价提供参考。</w:t>
            </w:r>
          </w:p>
        </w:tc>
        <w:tc>
          <w:tcPr>
            <w:tcW w:w="1166" w:type="pct"/>
            <w:vAlign w:val="center"/>
          </w:tcPr>
          <w:p w:rsidR="00D740CC" w:rsidRPr="00071536" w:rsidRDefault="00D740CC" w:rsidP="00925CF5">
            <w:pPr>
              <w:spacing w:line="240" w:lineRule="auto"/>
              <w:ind w:firstLineChars="0" w:firstLine="0"/>
              <w:jc w:val="left"/>
              <w:rPr>
                <w:sz w:val="22"/>
              </w:rPr>
            </w:pPr>
            <w:r w:rsidRPr="00071536">
              <w:rPr>
                <w:rFonts w:hint="eastAsia"/>
                <w:sz w:val="22"/>
              </w:rPr>
              <w:t>1</w:t>
            </w:r>
            <w:r>
              <w:rPr>
                <w:rFonts w:hint="eastAsia"/>
                <w:sz w:val="22"/>
              </w:rPr>
              <w:t>）结题</w:t>
            </w:r>
            <w:r w:rsidRPr="00071536">
              <w:rPr>
                <w:rFonts w:hint="eastAsia"/>
                <w:sz w:val="22"/>
              </w:rPr>
              <w:t>报告</w:t>
            </w:r>
            <w:r>
              <w:rPr>
                <w:rFonts w:hint="eastAsia"/>
                <w:sz w:val="22"/>
              </w:rPr>
              <w:t>及相关测试</w:t>
            </w:r>
            <w:r>
              <w:rPr>
                <w:sz w:val="22"/>
              </w:rPr>
              <w:t>数据</w:t>
            </w:r>
            <w:r w:rsidRPr="00071536">
              <w:rPr>
                <w:rFonts w:hint="eastAsia"/>
                <w:sz w:val="22"/>
              </w:rPr>
              <w:t>1</w:t>
            </w:r>
            <w:r w:rsidRPr="00071536">
              <w:rPr>
                <w:rFonts w:hint="eastAsia"/>
                <w:sz w:val="22"/>
              </w:rPr>
              <w:t>份；</w:t>
            </w:r>
          </w:p>
          <w:p w:rsidR="00D740CC" w:rsidRPr="004D3BFC" w:rsidRDefault="00D740CC" w:rsidP="00925CF5">
            <w:pPr>
              <w:spacing w:line="240" w:lineRule="auto"/>
              <w:ind w:firstLineChars="0" w:firstLine="0"/>
              <w:jc w:val="left"/>
              <w:rPr>
                <w:sz w:val="22"/>
              </w:rPr>
            </w:pPr>
            <w:r>
              <w:rPr>
                <w:rFonts w:hint="eastAsia"/>
                <w:sz w:val="22"/>
              </w:rPr>
              <w:t>2</w:t>
            </w:r>
            <w:r>
              <w:rPr>
                <w:rFonts w:hint="eastAsia"/>
                <w:sz w:val="22"/>
              </w:rPr>
              <w:t>）</w:t>
            </w:r>
            <w:r w:rsidRPr="00071536">
              <w:rPr>
                <w:rFonts w:hint="eastAsia"/>
                <w:sz w:val="22"/>
              </w:rPr>
              <w:t>发表</w:t>
            </w:r>
            <w:r w:rsidRPr="00071536">
              <w:rPr>
                <w:rFonts w:hint="eastAsia"/>
                <w:sz w:val="22"/>
              </w:rPr>
              <w:t>SCI</w:t>
            </w:r>
            <w:r w:rsidRPr="00071536">
              <w:rPr>
                <w:rFonts w:hint="eastAsia"/>
                <w:sz w:val="22"/>
              </w:rPr>
              <w:t>论文</w:t>
            </w:r>
            <w:r>
              <w:rPr>
                <w:sz w:val="22"/>
              </w:rPr>
              <w:t>1-2</w:t>
            </w:r>
            <w:r>
              <w:rPr>
                <w:rFonts w:hint="eastAsia"/>
                <w:sz w:val="22"/>
              </w:rPr>
              <w:t>篇或者发明</w:t>
            </w:r>
            <w:r>
              <w:rPr>
                <w:sz w:val="22"/>
              </w:rPr>
              <w:t>专利</w:t>
            </w:r>
            <w:r>
              <w:rPr>
                <w:rFonts w:hint="eastAsia"/>
                <w:sz w:val="22"/>
              </w:rPr>
              <w:t>1</w:t>
            </w:r>
            <w:r>
              <w:rPr>
                <w:sz w:val="22"/>
              </w:rPr>
              <w:t>-2</w:t>
            </w:r>
            <w:r>
              <w:rPr>
                <w:rFonts w:hint="eastAsia"/>
                <w:sz w:val="22"/>
              </w:rPr>
              <w:t>项。</w:t>
            </w:r>
          </w:p>
        </w:tc>
      </w:tr>
      <w:tr w:rsidR="00D740CC" w:rsidTr="00925CF5">
        <w:trPr>
          <w:trHeight w:val="1318"/>
        </w:trPr>
        <w:tc>
          <w:tcPr>
            <w:tcW w:w="242" w:type="pct"/>
            <w:vAlign w:val="center"/>
          </w:tcPr>
          <w:p w:rsidR="00D740CC" w:rsidRDefault="00D740CC" w:rsidP="00925CF5">
            <w:pPr>
              <w:spacing w:line="240" w:lineRule="auto"/>
              <w:ind w:firstLineChars="0" w:firstLine="0"/>
              <w:jc w:val="center"/>
              <w:rPr>
                <w:sz w:val="22"/>
              </w:rPr>
            </w:pPr>
            <w:r>
              <w:rPr>
                <w:rFonts w:hint="eastAsia"/>
                <w:sz w:val="22"/>
              </w:rPr>
              <w:t>6</w:t>
            </w:r>
          </w:p>
        </w:tc>
        <w:tc>
          <w:tcPr>
            <w:tcW w:w="726" w:type="pct"/>
            <w:vAlign w:val="center"/>
          </w:tcPr>
          <w:p w:rsidR="00D740CC" w:rsidRPr="007205F5" w:rsidRDefault="00D740CC" w:rsidP="00925CF5">
            <w:pPr>
              <w:spacing w:line="240" w:lineRule="auto"/>
              <w:ind w:firstLineChars="0" w:firstLine="0"/>
              <w:rPr>
                <w:sz w:val="22"/>
              </w:rPr>
            </w:pPr>
            <w:r w:rsidRPr="00B06C26">
              <w:rPr>
                <w:rFonts w:hint="eastAsia"/>
                <w:sz w:val="22"/>
              </w:rPr>
              <w:t>黔紫页</w:t>
            </w:r>
            <w:r w:rsidRPr="00B06C26">
              <w:rPr>
                <w:rFonts w:hint="eastAsia"/>
                <w:sz w:val="22"/>
              </w:rPr>
              <w:t>1</w:t>
            </w:r>
            <w:r w:rsidRPr="00B06C26">
              <w:rPr>
                <w:rFonts w:hint="eastAsia"/>
                <w:sz w:val="22"/>
              </w:rPr>
              <w:t>井石炭系页岩气可开发性评价研究</w:t>
            </w:r>
          </w:p>
        </w:tc>
        <w:tc>
          <w:tcPr>
            <w:tcW w:w="2866" w:type="pct"/>
            <w:vAlign w:val="center"/>
          </w:tcPr>
          <w:p w:rsidR="00D740CC" w:rsidRPr="004D3BFC" w:rsidRDefault="00D740CC" w:rsidP="00925CF5">
            <w:pPr>
              <w:spacing w:line="240" w:lineRule="auto"/>
              <w:ind w:firstLineChars="0" w:firstLine="0"/>
              <w:jc w:val="left"/>
              <w:rPr>
                <w:sz w:val="22"/>
              </w:rPr>
            </w:pPr>
            <w:r w:rsidRPr="00B06C26">
              <w:rPr>
                <w:rFonts w:hint="eastAsia"/>
                <w:sz w:val="22"/>
              </w:rPr>
              <w:t>以黔紫页</w:t>
            </w:r>
            <w:r w:rsidRPr="00B06C26">
              <w:rPr>
                <w:rFonts w:hint="eastAsia"/>
                <w:sz w:val="22"/>
              </w:rPr>
              <w:t>1</w:t>
            </w:r>
            <w:r w:rsidRPr="00B06C26">
              <w:rPr>
                <w:rFonts w:hint="eastAsia"/>
                <w:sz w:val="22"/>
              </w:rPr>
              <w:t>井下石炭统打屋坝组富有机质页岩为评价对象，开展页岩开发各项参数分析测试，系统总结打屋坝组页岩气的可开发性，并提出适用的开发技术对策。</w:t>
            </w:r>
          </w:p>
        </w:tc>
        <w:tc>
          <w:tcPr>
            <w:tcW w:w="1166" w:type="pct"/>
            <w:vAlign w:val="center"/>
          </w:tcPr>
          <w:p w:rsidR="00D740CC" w:rsidRPr="00071536" w:rsidRDefault="00D740CC" w:rsidP="00925CF5">
            <w:pPr>
              <w:spacing w:line="240" w:lineRule="auto"/>
              <w:ind w:firstLineChars="0" w:firstLine="0"/>
              <w:jc w:val="left"/>
              <w:rPr>
                <w:sz w:val="22"/>
              </w:rPr>
            </w:pPr>
            <w:r w:rsidRPr="00071536">
              <w:rPr>
                <w:rFonts w:hint="eastAsia"/>
                <w:sz w:val="22"/>
              </w:rPr>
              <w:t>1</w:t>
            </w:r>
            <w:r>
              <w:rPr>
                <w:rFonts w:hint="eastAsia"/>
                <w:sz w:val="22"/>
              </w:rPr>
              <w:t>）结题</w:t>
            </w:r>
            <w:r w:rsidRPr="00071536">
              <w:rPr>
                <w:rFonts w:hint="eastAsia"/>
                <w:sz w:val="22"/>
              </w:rPr>
              <w:t>报告</w:t>
            </w:r>
            <w:r>
              <w:rPr>
                <w:rFonts w:hint="eastAsia"/>
                <w:sz w:val="22"/>
              </w:rPr>
              <w:t>及相关测试</w:t>
            </w:r>
            <w:r>
              <w:rPr>
                <w:sz w:val="22"/>
              </w:rPr>
              <w:t>数据</w:t>
            </w:r>
            <w:r w:rsidRPr="00071536">
              <w:rPr>
                <w:rFonts w:hint="eastAsia"/>
                <w:sz w:val="22"/>
              </w:rPr>
              <w:t>1</w:t>
            </w:r>
            <w:r w:rsidRPr="00071536">
              <w:rPr>
                <w:rFonts w:hint="eastAsia"/>
                <w:sz w:val="22"/>
              </w:rPr>
              <w:t>份；</w:t>
            </w:r>
          </w:p>
          <w:p w:rsidR="00D740CC" w:rsidRPr="004D3BFC" w:rsidRDefault="00D740CC" w:rsidP="00925CF5">
            <w:pPr>
              <w:spacing w:line="240" w:lineRule="auto"/>
              <w:ind w:firstLineChars="0" w:firstLine="0"/>
              <w:jc w:val="left"/>
              <w:rPr>
                <w:sz w:val="22"/>
              </w:rPr>
            </w:pPr>
            <w:r>
              <w:rPr>
                <w:rFonts w:hint="eastAsia"/>
                <w:sz w:val="22"/>
              </w:rPr>
              <w:t>2</w:t>
            </w:r>
            <w:r>
              <w:rPr>
                <w:rFonts w:hint="eastAsia"/>
                <w:sz w:val="22"/>
              </w:rPr>
              <w:t>）</w:t>
            </w:r>
            <w:r w:rsidRPr="00071536">
              <w:rPr>
                <w:rFonts w:hint="eastAsia"/>
                <w:sz w:val="22"/>
              </w:rPr>
              <w:t>发表</w:t>
            </w:r>
            <w:r w:rsidRPr="00071536">
              <w:rPr>
                <w:rFonts w:hint="eastAsia"/>
                <w:sz w:val="22"/>
              </w:rPr>
              <w:t>SCI</w:t>
            </w:r>
            <w:r w:rsidRPr="00071536">
              <w:rPr>
                <w:rFonts w:hint="eastAsia"/>
                <w:sz w:val="22"/>
              </w:rPr>
              <w:t>论文</w:t>
            </w:r>
            <w:r>
              <w:rPr>
                <w:sz w:val="22"/>
              </w:rPr>
              <w:t>1-2</w:t>
            </w:r>
            <w:r>
              <w:rPr>
                <w:rFonts w:hint="eastAsia"/>
                <w:sz w:val="22"/>
              </w:rPr>
              <w:t>篇或者发明</w:t>
            </w:r>
            <w:r>
              <w:rPr>
                <w:sz w:val="22"/>
              </w:rPr>
              <w:t>专利</w:t>
            </w:r>
            <w:r>
              <w:rPr>
                <w:rFonts w:hint="eastAsia"/>
                <w:sz w:val="22"/>
              </w:rPr>
              <w:t>1</w:t>
            </w:r>
            <w:r>
              <w:rPr>
                <w:sz w:val="22"/>
              </w:rPr>
              <w:t>-2</w:t>
            </w:r>
            <w:r>
              <w:rPr>
                <w:rFonts w:hint="eastAsia"/>
                <w:sz w:val="22"/>
              </w:rPr>
              <w:t>项。</w:t>
            </w:r>
          </w:p>
        </w:tc>
      </w:tr>
    </w:tbl>
    <w:p w:rsidR="00D740CC" w:rsidRPr="00D740CC" w:rsidRDefault="00D740CC">
      <w:pPr>
        <w:ind w:firstLine="560"/>
      </w:pPr>
    </w:p>
    <w:sectPr w:rsidR="00D740CC" w:rsidRPr="00D740CC" w:rsidSect="00D740CC">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F1" w:rsidRDefault="003622F1" w:rsidP="00525FAC">
      <w:pPr>
        <w:spacing w:line="240" w:lineRule="auto"/>
        <w:ind w:firstLine="560"/>
      </w:pPr>
      <w:r>
        <w:separator/>
      </w:r>
    </w:p>
  </w:endnote>
  <w:endnote w:type="continuationSeparator" w:id="0">
    <w:p w:rsidR="003622F1" w:rsidRDefault="003622F1" w:rsidP="00525FA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AC" w:rsidRDefault="00525FAC" w:rsidP="00525FA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AC" w:rsidRDefault="00525FAC" w:rsidP="00525FAC">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AC" w:rsidRDefault="00525FAC" w:rsidP="00525FA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F1" w:rsidRDefault="003622F1" w:rsidP="00525FAC">
      <w:pPr>
        <w:spacing w:line="240" w:lineRule="auto"/>
        <w:ind w:firstLine="560"/>
      </w:pPr>
      <w:r>
        <w:separator/>
      </w:r>
    </w:p>
  </w:footnote>
  <w:footnote w:type="continuationSeparator" w:id="0">
    <w:p w:rsidR="003622F1" w:rsidRDefault="003622F1" w:rsidP="00525FAC">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AC" w:rsidRDefault="00525FAC" w:rsidP="00525FAC">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AC" w:rsidRDefault="00525FAC" w:rsidP="00525FAC">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AC" w:rsidRDefault="00525FAC" w:rsidP="00525FAC">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CC"/>
    <w:rsid w:val="000F5FD8"/>
    <w:rsid w:val="003622F1"/>
    <w:rsid w:val="00525FAC"/>
    <w:rsid w:val="00D74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CC"/>
    <w:pPr>
      <w:widowControl w:val="0"/>
      <w:spacing w:line="360" w:lineRule="auto"/>
      <w:ind w:firstLineChars="200" w:firstLine="200"/>
      <w:jc w:val="both"/>
    </w:pPr>
    <w:rPr>
      <w:rFonts w:ascii="Times New Roman" w:eastAsia="仿宋"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25FA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525FAC"/>
    <w:rPr>
      <w:rFonts w:ascii="Times New Roman" w:eastAsia="仿宋" w:hAnsi="Times New Roman"/>
      <w:sz w:val="18"/>
      <w:szCs w:val="18"/>
    </w:rPr>
  </w:style>
  <w:style w:type="paragraph" w:styleId="a5">
    <w:name w:val="footer"/>
    <w:basedOn w:val="a"/>
    <w:link w:val="Char0"/>
    <w:uiPriority w:val="99"/>
    <w:unhideWhenUsed/>
    <w:rsid w:val="00525FAC"/>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525FAC"/>
    <w:rPr>
      <w:rFonts w:ascii="Times New Roman" w:eastAsia="仿宋"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CC"/>
    <w:pPr>
      <w:widowControl w:val="0"/>
      <w:spacing w:line="360" w:lineRule="auto"/>
      <w:ind w:firstLineChars="200" w:firstLine="200"/>
      <w:jc w:val="both"/>
    </w:pPr>
    <w:rPr>
      <w:rFonts w:ascii="Times New Roman" w:eastAsia="仿宋"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25FA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525FAC"/>
    <w:rPr>
      <w:rFonts w:ascii="Times New Roman" w:eastAsia="仿宋" w:hAnsi="Times New Roman"/>
      <w:sz w:val="18"/>
      <w:szCs w:val="18"/>
    </w:rPr>
  </w:style>
  <w:style w:type="paragraph" w:styleId="a5">
    <w:name w:val="footer"/>
    <w:basedOn w:val="a"/>
    <w:link w:val="Char0"/>
    <w:uiPriority w:val="99"/>
    <w:unhideWhenUsed/>
    <w:rsid w:val="00525FAC"/>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525FAC"/>
    <w:rPr>
      <w:rFonts w:ascii="Times New Roman" w:eastAsia="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张聪</dc:creator>
  <cp:keywords/>
  <dc:description/>
  <cp:lastModifiedBy>FZ-XINXI</cp:lastModifiedBy>
  <cp:revision>2</cp:revision>
  <dcterms:created xsi:type="dcterms:W3CDTF">2018-08-23T05:13:00Z</dcterms:created>
  <dcterms:modified xsi:type="dcterms:W3CDTF">2018-08-23T05:41:00Z</dcterms:modified>
</cp:coreProperties>
</file>